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11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方正小标宋_GBK" w:hAnsi="黑体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黑体" w:eastAsia="方正小标宋_GBK" w:cs="Times New Roman"/>
          <w:sz w:val="44"/>
          <w:szCs w:val="44"/>
          <w:highlight w:val="none"/>
          <w:lang w:val="en-US" w:eastAsia="zh-CN"/>
        </w:rPr>
        <w:t>2026年上半年全区经济运行情况分析</w:t>
      </w:r>
      <w:bookmarkStart w:id="0" w:name="_GoBack"/>
      <w:bookmarkEnd w:id="0"/>
    </w:p>
    <w:p w14:paraId="7AB5C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Style w:val="4"/>
          <w:rFonts w:hint="eastAsia" w:ascii="Times New Roman" w:hAnsi="Times New Roman"/>
          <w:color w:val="000000"/>
          <w:sz w:val="32"/>
          <w:szCs w:val="32"/>
          <w:highlight w:val="none"/>
          <w:lang w:eastAsia="zh-CN"/>
        </w:rPr>
      </w:pPr>
    </w:p>
    <w:p w14:paraId="69346F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2026年上半年，淮安区锚定高质量发展首要任务，紧扣年度目标任务，完整、准确、全面贯彻新发展理念，积极服务构建新发展格局，聚力推进项目建设、市场主体培育、产业转型升级，全区经济运行总体平稳、稳中有进，经济底盘持续夯实，发展质效稳步提升。上半年，全区实现GDP444.55亿元，同比增长4.6%，一二三产占比为5.9:40.4:53.8，其中一产增加值26.04亿元，增长3.8%；二产增加值179.54亿元，增长3.8%；三产增加值238.97亿元，增长5.2%。</w:t>
      </w:r>
    </w:p>
    <w:p w14:paraId="2E7B3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/>
          <w:b/>
          <w:bCs/>
          <w:sz w:val="32"/>
          <w:szCs w:val="32"/>
          <w:highlight w:val="none"/>
          <w:lang w:val="en-US" w:eastAsia="zh-CN"/>
        </w:rPr>
        <w:t>（一）农业生产总体稳定。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上半年，全区实现农林牧渔业总产值45.88亿元，实现农林牧渔业增加值26.82亿元，按可比价格计算，同比增长3.8%，农业（种植业）主导地位稳固，稳产提质成效显著。</w:t>
      </w:r>
    </w:p>
    <w:p w14:paraId="05E982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/>
          <w:b/>
          <w:bCs/>
          <w:sz w:val="32"/>
          <w:szCs w:val="32"/>
          <w:highlight w:val="none"/>
          <w:lang w:val="en-US" w:eastAsia="zh-CN"/>
        </w:rPr>
        <w:t>（二）生产领域平稳增长。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上半年，全区规模以上工业增加值同比增长8.2%，高于全市平均水平1.5个百分点。全区规模以上工业企业共涉及98个行业中类，其中62个行业累计产值正增长，增长面达63.3%；从增加值情况看，全区共有60个行业累计可比价增加值呈正增长，增长面达61.2%。有4个行业当月产值同比增长超3000万元、累计同比增长超亿元，分别为：有色金属冶炼和压延加工业、橡胶制品业、轴承齿轮和传动部件制造、屠宰及肉类加工；4大行业当月及累计分别增长4.16亿元、14.8亿元。</w:t>
      </w:r>
    </w:p>
    <w:p w14:paraId="33E0A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（三）固定资产投资同比下降</w:t>
      </w:r>
      <w:r>
        <w:rPr>
          <w:rFonts w:hint="eastAsia" w:ascii="Times New Roman" w:hAnsi="Times New Roman" w:eastAsia="方正楷体_GBK"/>
          <w:b/>
          <w:bCs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上半年，全区完成规模以上固定资产投资143.69亿元，同比下降0.3%，其中项目投资142.99亿元，同比增长2.2%，房地产开发投资6989万元，同比下降83.4%；工业投资119.06亿元，同比下降3.8%，其中工业技改投资39.75亿元，占工业投资比重33.4%；民间投资117.42亿元，同比下降4.4%，占规上投资比重81.7%，商品房销售面积9.02万平方米，同比下降73%。</w:t>
      </w:r>
    </w:p>
    <w:p w14:paraId="03EB46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/>
          <w:b/>
          <w:bCs/>
          <w:sz w:val="32"/>
          <w:szCs w:val="32"/>
          <w:highlight w:val="none"/>
          <w:lang w:val="en-US" w:eastAsia="zh-CN"/>
        </w:rPr>
        <w:t>（四）消费潜力稳步释放。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实现社会消费品零售总额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  <w:t>171.12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亿元，同比增长4.3%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。分行业看，批零住餐四个行业分别实现贸易额271.32、147.13、4.49和41.28亿元，分别同比增长6.6%、4.3%、13.2%和11.0%。限上住餐行业实现餐费收入5.47亿元，同比增长18.9%，住餐行业正成为拉动我区消费高质量发展的重要引擎。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  <w:t>消费活力稳步释放，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限上零售业实现销售额19.32亿元，同比增长4.6%，环比上升4.0个百分点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限上批发业实现销售额93.64亿元，同比增长11.5%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  <w:t>，批发业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前7大行业均实现正增长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分行业看，西药批发、金属矿批发、再生资源回收分别同比增长92.3、52.2、45.0个百分点，增速领跑行业均值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  <w:t>。</w:t>
      </w:r>
    </w:p>
    <w:p w14:paraId="003A65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0" w:leftChars="0" w:firstLine="640" w:firstLineChars="200"/>
        <w:textAlignment w:val="auto"/>
        <w:rPr>
          <w:rStyle w:val="4"/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楷体_GBK"/>
          <w:b/>
          <w:bCs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Times New Roman" w:hAnsi="Times New Roman" w:eastAsia="方正楷体_GBK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服务业发展态势良好。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年1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5月全区规模以上服务业累计营业收入116.0亿元，同比增长23.8%，排名全市第四。其中核算行业累计营业收入78.9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亿元，同比增长38.6%；生产性服务业累计营业收入107.5亿元，同比增长28.5%。</w:t>
      </w:r>
    </w:p>
    <w:p w14:paraId="25916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/>
          <w:b/>
          <w:bCs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方正楷体_GBK"/>
          <w:b/>
          <w:bCs/>
          <w:sz w:val="32"/>
          <w:szCs w:val="32"/>
          <w:highlight w:val="none"/>
          <w:lang w:val="en-US" w:eastAsia="zh-CN"/>
        </w:rPr>
        <w:t>六）</w:t>
      </w:r>
      <w:r>
        <w:rPr>
          <w:rFonts w:hint="eastAsia" w:ascii="Times New Roman" w:hAnsi="Times New Roman" w:eastAsia="方正楷体_GBK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居民收入平稳增长。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2026年上半年，淮安区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居民人均可支配收入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保持正向增长，整体呈现“增速平稳、城乡分化改善、结构稳中微调”的发展特征，民生增收基本盘总体稳固。2026年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上半年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全区全体居民人均可支配收入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20801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元，同比增长5.7%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分城乡来看，城镇常住居民人均可支配收入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25098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元，同比增长4.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%；农村常住居民人均可支配收入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16049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元，同比增长6.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%，农村居民收入增速持续高于城镇居民，城乡收入均衡化发展成效持续显现，是区域收入发展的积极亮点。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城乡收入比由上年同期1.59:1降为1.56:1，城乡发展差距进一步缩小，为实现城乡共同富裕奠定了基础。</w:t>
      </w:r>
    </w:p>
    <w:p w14:paraId="1D32C32C"/>
    <w:p w14:paraId="243F7ECB"/>
    <w:sectPr>
      <w:pgSz w:w="11906" w:h="16838"/>
      <w:pgMar w:top="2098" w:right="1474" w:bottom="1984" w:left="1588" w:header="851" w:footer="992" w:gutter="0"/>
      <w:cols w:space="0" w:num="1"/>
      <w:rtlGutter w:val="0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150DB"/>
    <w:rsid w:val="24140B3E"/>
    <w:rsid w:val="287F3563"/>
    <w:rsid w:val="767150DB"/>
    <w:rsid w:val="7CF1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jh-p"/>
    <w:basedOn w:val="3"/>
    <w:autoRedefine/>
    <w:qFormat/>
    <w:uiPriority w:val="0"/>
  </w:style>
  <w:style w:type="paragraph" w:customStyle="1" w:styleId="5">
    <w:name w:val="正文文本缩进1"/>
    <w:basedOn w:val="1"/>
    <w:autoRedefine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970568e3-e07e-4e59-a7c2-264404caac37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 3A654A</paraID>
      <start>19</start>
      <end>20</end>
      <status>modified</status>
      <modifiedWord>—</modifiedWord>
      <trackRevisions>false</trackRevisions>
    </reviewItem>
    <reviewItem>
      <errorID>59d2841c-0f7d-46a3-95e9-7222215f7381</errorID>
      <errorWord>居民可支配收入</errorWord>
      <group>L1_Political</group>
      <groupName>政治性问题</groupName>
      <ability>L2_Keyword</ability>
      <abilityName>固定表述</abilityName>
      <candidateList>
        <item>居民人均可支配收入</item>
      </candidateList>
      <explain>词汇“居民人均可支配收入”在特定场景下为固定表述形式，请确认此处的“居民可支配收入”是否存在不当。</explain>
      <paraID>259162BD</paraID>
      <start>24</start>
      <end>33</end>
      <status>modified</status>
      <modifiedWord>居民人均可支配收入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a569bc3-83eb-435d-b63c-f012acc7fc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1228</Words>
  <Characters>1508</Characters>
  <Lines>0</Lines>
  <Paragraphs>0</Paragraphs>
  <TotalTime>947</TotalTime>
  <ScaleCrop>false</ScaleCrop>
  <LinksUpToDate>false</LinksUpToDate>
  <CharactersWithSpaces>1508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2026-08-12T08:25:00Z</dcterms:created>
  <dc:creator>I Am Legend</dc:creator>
  <cp:lastModifiedBy>单雨蒙</cp:lastModifiedBy>
  <dcterms:modified xsi:type="dcterms:W3CDTF">2026-08-19T07:58:32Z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2051C91B1DDC497A9E495FCC3CA39B1A_11</vt:lpwstr>
  </property>
  <property fmtid="{D5CDD505-2E9C-101B-9397-08002B2CF9AE}" pid="4" name="KSOTemplateDocerSaveRecord">
    <vt:lpwstr>eyJoZGlkIjoiZDk4MDgyODIyZDk3M2I0YjNjYTdkYWIyNGE0MzY5ODUiLCJ1c2VySWQiOiIxMjIzNDU5ODY0In0=</vt:lpwstr>
  </property>
</Properties>
</file>