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1BD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jc w:val="center"/>
        <w:textAlignment w:val="auto"/>
        <w:rPr>
          <w:rFonts w:ascii="方正小标宋_GBK" w:eastAsia="方正小标宋_GBK"/>
          <w:color w:val="auto"/>
          <w:sz w:val="44"/>
          <w:szCs w:val="44"/>
          <w:highlight w:val="none"/>
        </w:rPr>
      </w:pPr>
      <w:bookmarkStart w:id="0" w:name="_GoBack"/>
      <w:bookmarkEnd w:id="0"/>
      <w:r>
        <w:rPr>
          <w:rFonts w:ascii="方正小标宋_GBK" w:eastAsia="方正小标宋_GBK"/>
          <w:color w:val="auto"/>
          <w:sz w:val="44"/>
          <w:szCs w:val="44"/>
          <w:highlight w:val="none"/>
        </w:rPr>
        <w:t>20</w:t>
      </w:r>
      <w:r>
        <w:rPr>
          <w:rFonts w:hint="eastAsia" w:ascii="方正小标宋_GBK" w:eastAsia="方正小标宋_GBK"/>
          <w:color w:val="auto"/>
          <w:sz w:val="44"/>
          <w:szCs w:val="44"/>
          <w:highlight w:val="none"/>
          <w:lang w:val="en-US" w:eastAsia="zh-CN"/>
        </w:rPr>
        <w:t>25</w:t>
      </w:r>
      <w:r>
        <w:rPr>
          <w:rFonts w:hint="eastAsia" w:ascii="方正小标宋_GBK" w:eastAsia="方正小标宋_GBK"/>
          <w:color w:val="auto"/>
          <w:sz w:val="44"/>
          <w:szCs w:val="44"/>
          <w:highlight w:val="none"/>
        </w:rPr>
        <w:t>年淮安市淮安区</w:t>
      </w:r>
    </w:p>
    <w:p w14:paraId="3C744B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jc w:val="center"/>
        <w:textAlignment w:val="auto"/>
        <w:rPr>
          <w:rFonts w:ascii="方正小标宋_GBK" w:eastAsia="方正小标宋_GBK"/>
          <w:color w:val="auto"/>
          <w:sz w:val="44"/>
          <w:szCs w:val="44"/>
          <w:highlight w:val="none"/>
        </w:rPr>
      </w:pPr>
      <w:r>
        <w:rPr>
          <w:rFonts w:hint="eastAsia" w:ascii="方正小标宋_GBK" w:eastAsia="方正小标宋_GBK"/>
          <w:color w:val="auto"/>
          <w:sz w:val="44"/>
          <w:szCs w:val="44"/>
          <w:highlight w:val="none"/>
        </w:rPr>
        <w:t>国民经济和社会发展统计公报</w:t>
      </w:r>
    </w:p>
    <w:p w14:paraId="61B4E2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jc w:val="center"/>
        <w:textAlignment w:val="auto"/>
        <w:rPr>
          <w:rFonts w:ascii="方正仿宋_GBK" w:eastAsia="方正仿宋_GBK"/>
          <w:color w:val="auto"/>
          <w:sz w:val="18"/>
          <w:szCs w:val="18"/>
          <w:highlight w:val="none"/>
        </w:rPr>
      </w:pPr>
    </w:p>
    <w:p w14:paraId="799702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jc w:val="center"/>
        <w:textAlignment w:val="auto"/>
        <w:rPr>
          <w:rFonts w:ascii="方正楷体_GBK" w:eastAsia="方正楷体_GBK"/>
          <w:color w:val="auto"/>
          <w:sz w:val="30"/>
          <w:szCs w:val="30"/>
          <w:highlight w:val="none"/>
        </w:rPr>
      </w:pPr>
      <w:r>
        <w:rPr>
          <w:rFonts w:hint="eastAsia" w:ascii="方正楷体_GBK" w:eastAsia="方正楷体_GBK"/>
          <w:color w:val="auto"/>
          <w:sz w:val="30"/>
          <w:szCs w:val="30"/>
          <w:highlight w:val="none"/>
        </w:rPr>
        <w:t>淮安市淮安区统计局</w:t>
      </w:r>
    </w:p>
    <w:p w14:paraId="76AEF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jc w:val="center"/>
        <w:textAlignment w:val="auto"/>
        <w:rPr>
          <w:rFonts w:ascii="方正楷体_GBK" w:eastAsia="方正楷体_GBK"/>
          <w:color w:val="auto"/>
          <w:sz w:val="30"/>
          <w:szCs w:val="30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2026</w:t>
      </w:r>
      <w:r>
        <w:rPr>
          <w:rFonts w:hint="eastAsia" w:ascii="方正楷体_GBK" w:eastAsia="方正楷体_GBK"/>
          <w:color w:val="auto"/>
          <w:sz w:val="30"/>
          <w:szCs w:val="30"/>
          <w:highlight w:val="none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5</w:t>
      </w:r>
      <w:r>
        <w:rPr>
          <w:rFonts w:hint="eastAsia" w:ascii="方正楷体_GBK" w:eastAsia="方正楷体_GBK"/>
          <w:color w:val="auto"/>
          <w:sz w:val="30"/>
          <w:szCs w:val="30"/>
          <w:highlight w:val="none"/>
        </w:rPr>
        <w:t>月</w:t>
      </w:r>
    </w:p>
    <w:p w14:paraId="006347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2025年，全区上下坚持以习近平新时代中国特色社会主义思想为指导，深入学习贯彻党的二十大和二十届历次全会精神，全面落实习近平总书记对江苏工作重要讲话重要指示精神，紧扣省委、市委决策部署，着力推动高质量发展，统筹发展和安全，攻坚克难、实干争先，全区经济运行稳中有进、质效提升，社会事业全面进步，民生福祉持续改善，较好地完成了年度各项目标任务。</w:t>
      </w:r>
    </w:p>
    <w:p w14:paraId="40EE5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100" w:afterLines="100" w:line="596" w:lineRule="exact"/>
        <w:jc w:val="center"/>
        <w:textAlignment w:val="auto"/>
        <w:rPr>
          <w:rFonts w:ascii="黑体" w:hAnsi="黑体" w:eastAsia="黑体"/>
          <w:color w:val="auto"/>
          <w:sz w:val="30"/>
          <w:szCs w:val="30"/>
          <w:highlight w:val="none"/>
        </w:rPr>
      </w:pPr>
      <w:r>
        <w:rPr>
          <w:rFonts w:hint="eastAsia" w:ascii="黑体" w:hAnsi="黑体" w:eastAsia="黑体"/>
          <w:color w:val="auto"/>
          <w:sz w:val="30"/>
          <w:szCs w:val="30"/>
          <w:highlight w:val="none"/>
        </w:rPr>
        <w:t>一、综合</w:t>
      </w:r>
    </w:p>
    <w:p w14:paraId="638D7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</w:pPr>
      <w:r>
        <w:rPr>
          <w:rFonts w:hint="eastAsia" w:ascii="方正楷体_GBK" w:eastAsia="方正楷体_GBK"/>
          <w:color w:val="auto"/>
          <w:sz w:val="32"/>
          <w:szCs w:val="32"/>
          <w:highlight w:val="none"/>
          <w:lang w:val="en-US" w:eastAsia="zh-CN"/>
        </w:rPr>
        <w:t>经济总量稳步增长。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初步核算，2025年，全区实现地区生产总值883.53亿元，同比增长6.2%，高于全市增幅0.3个百分点。分产业看，三次产业协同发展，具体表现为：第一产业增加值93.61亿元，增幅4.3%；第二产业增加值342.85亿元，增幅4.3%；第三产业增加值447.07亿元，增幅8.3%，成为拉动经济增长的核心动力。三次产业比重为10.6:38.8:50.6，二、三产业增加值占GDP的比重为89.4%，和去年持平。</w:t>
      </w:r>
    </w:p>
    <w:p w14:paraId="54BF5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</w:pPr>
      <w:r>
        <w:rPr>
          <w:rFonts w:hint="eastAsia" w:ascii="方正楷体_GBK" w:eastAsia="方正楷体_GBK"/>
          <w:color w:val="auto"/>
          <w:sz w:val="32"/>
          <w:szCs w:val="32"/>
          <w:highlight w:val="none"/>
          <w:lang w:val="en-US" w:eastAsia="zh-CN"/>
        </w:rPr>
        <w:t>经济活力持续增强。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年末市场监管部门登记的私营企业2.60万户，年末个体经营户6.97万户。全年实现新增列统企业（不含投资）294家，其中工业新增70家，建筑业新增10家，贸易业新增146家，服务业新增68家。</w:t>
      </w:r>
    </w:p>
    <w:p w14:paraId="72903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100" w:afterLines="100" w:line="596" w:lineRule="exact"/>
        <w:jc w:val="center"/>
        <w:textAlignment w:val="auto"/>
        <w:rPr>
          <w:rFonts w:ascii="黑体" w:hAnsi="黑体" w:eastAsia="黑体"/>
          <w:color w:val="auto"/>
          <w:sz w:val="30"/>
          <w:szCs w:val="30"/>
          <w:highlight w:val="none"/>
        </w:rPr>
      </w:pPr>
      <w:r>
        <w:rPr>
          <w:rFonts w:hint="eastAsia" w:ascii="黑体" w:hAnsi="黑体" w:eastAsia="黑体"/>
          <w:color w:val="auto"/>
          <w:sz w:val="30"/>
          <w:szCs w:val="30"/>
          <w:highlight w:val="none"/>
        </w:rPr>
        <w:t>二、农林牧渔业</w:t>
      </w:r>
    </w:p>
    <w:p w14:paraId="281268C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eastAsia="方正楷体_GBK"/>
          <w:color w:val="auto"/>
          <w:sz w:val="32"/>
          <w:szCs w:val="32"/>
          <w:highlight w:val="none"/>
          <w:lang w:val="en-US" w:eastAsia="zh-CN"/>
        </w:rPr>
        <w:t>粮食生产保持稳定。</w:t>
      </w:r>
      <w:r>
        <w:rPr>
          <w:rFonts w:hint="eastAsia" w:ascii="Times New Roman" w:hAnsi="Times New Roman" w:eastAsia="方正仿宋_GBK" w:cs="Times New Roman"/>
          <w:kern w:val="2"/>
          <w:sz w:val="32"/>
          <w:szCs w:val="21"/>
          <w:highlight w:val="none"/>
          <w:lang w:val="en-US" w:eastAsia="zh-CN" w:bidi="ar-SA"/>
        </w:rPr>
        <w:t>全年粮食种植面积200.14万亩，比上年增加0.28万亩。粮食产量再创新高，总产98.75万吨，增产0.08万吨，增长0.09%。其中，夏粮产量38.14万吨，下降0.95%；秋粮产量60.61万吨，增长0.76%。</w:t>
      </w:r>
    </w:p>
    <w:p w14:paraId="2CBEF31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eastAsia="方正楷体_GBK"/>
          <w:color w:val="auto"/>
          <w:sz w:val="32"/>
          <w:szCs w:val="32"/>
          <w:highlight w:val="none"/>
          <w:lang w:val="en-US" w:eastAsia="zh-CN"/>
        </w:rPr>
        <w:t>牧业渔业稳定增长。</w:t>
      </w:r>
      <w:r>
        <w:rPr>
          <w:rFonts w:hint="eastAsia" w:ascii="Times New Roman" w:hAnsi="Times New Roman" w:eastAsia="方正仿宋_GBK" w:cs="Times New Roman"/>
          <w:kern w:val="2"/>
          <w:sz w:val="32"/>
          <w:szCs w:val="21"/>
          <w:highlight w:val="none"/>
          <w:lang w:val="en-US" w:eastAsia="zh-CN" w:bidi="ar-SA"/>
        </w:rPr>
        <w:t>年末生猪存栏25.76万头，生猪出栏48.89万头，下降12.1%。家禽存栏212.22万只，出栏444.37万只。水产品总产量5.45万吨，增长0.3%。</w:t>
      </w:r>
    </w:p>
    <w:p w14:paraId="008FD5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100" w:afterLines="100" w:line="596" w:lineRule="exact"/>
        <w:jc w:val="center"/>
        <w:textAlignment w:val="auto"/>
        <w:rPr>
          <w:rFonts w:ascii="黑体" w:hAnsi="黑体" w:eastAsia="黑体"/>
          <w:color w:val="auto"/>
          <w:sz w:val="30"/>
          <w:szCs w:val="30"/>
          <w:highlight w:val="none"/>
        </w:rPr>
      </w:pPr>
      <w:r>
        <w:rPr>
          <w:rFonts w:hint="eastAsia" w:ascii="黑体" w:hAnsi="黑体" w:eastAsia="黑体"/>
          <w:color w:val="auto"/>
          <w:sz w:val="30"/>
          <w:szCs w:val="30"/>
          <w:highlight w:val="none"/>
        </w:rPr>
        <w:t>三、工业和建筑业</w:t>
      </w:r>
    </w:p>
    <w:p w14:paraId="4941B6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</w:pPr>
      <w:r>
        <w:rPr>
          <w:rFonts w:hint="eastAsia" w:ascii="方正楷体_GBK" w:eastAsia="方正楷体_GBK"/>
          <w:color w:val="auto"/>
          <w:sz w:val="32"/>
          <w:szCs w:val="32"/>
          <w:highlight w:val="none"/>
          <w:lang w:val="en-US" w:eastAsia="zh-CN"/>
        </w:rPr>
        <w:t>工业生产支撑有力。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全区实现工业开票销售收入487.89亿元，同比增长6.6%；实现工业用电量20.63亿千瓦时，同比增长8.0%；规模以上工业增加值同比增长10.9%。</w:t>
      </w:r>
      <w:r>
        <w:rPr>
          <w:rFonts w:hint="default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共创草坪入选省制造业领航企业，创成省先进级智能工厂13家、省绿色工厂7家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，有效期国家高新技术企业达124家、较上年净增21家，高新技术产业产值占比提高1.1个百分点，获评省企业研发管理体系贯标合格单位4家、省瞪羚企业2家，盐穴能源储备创新联合体入选省建设名单</w:t>
      </w:r>
      <w:r>
        <w:rPr>
          <w:rFonts w:hint="default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。</w:t>
      </w:r>
    </w:p>
    <w:p w14:paraId="57FAD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</w:pPr>
      <w:r>
        <w:rPr>
          <w:rFonts w:hint="eastAsia" w:ascii="方正楷体_GBK" w:eastAsia="方正楷体_GBK"/>
          <w:color w:val="auto"/>
          <w:sz w:val="32"/>
          <w:szCs w:val="32"/>
          <w:highlight w:val="none"/>
          <w:lang w:val="en-US" w:eastAsia="zh-CN"/>
        </w:rPr>
        <w:t>建筑业平稳增长。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全年实现有资质建筑业企业总产值543.48亿元，同比增长6.5%；竣工产值405.41亿元，同比增长1.4%；全区有资质建筑企业实现利润总额19.83亿元；建筑业企业房屋建筑施工面积3592.73万平方米，其中新开工面积1102.03万平方米，竣工面积1359.84万平方米，竣工率37.8%；其中住宅竣工面积1120.88万平方米。</w:t>
      </w:r>
    </w:p>
    <w:p w14:paraId="61E6E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after="312" w:afterLines="100" w:line="596" w:lineRule="exact"/>
        <w:jc w:val="center"/>
        <w:textAlignment w:val="auto"/>
        <w:rPr>
          <w:rFonts w:ascii="黑体" w:hAnsi="黑体" w:eastAsia="黑体"/>
          <w:color w:val="auto"/>
          <w:sz w:val="30"/>
          <w:szCs w:val="30"/>
          <w:highlight w:val="none"/>
        </w:rPr>
      </w:pPr>
      <w:r>
        <w:rPr>
          <w:rFonts w:ascii="黑体" w:hAnsi="黑体" w:eastAsia="黑体"/>
          <w:color w:val="auto"/>
          <w:sz w:val="30"/>
          <w:szCs w:val="30"/>
          <w:highlight w:val="none"/>
        </w:rPr>
        <w:t>四、固定资产投资</w:t>
      </w:r>
    </w:p>
    <w:p w14:paraId="2EF67C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</w:pPr>
      <w:r>
        <w:rPr>
          <w:rFonts w:hint="eastAsia" w:ascii="方正楷体_GBK" w:eastAsia="方正楷体_GBK"/>
          <w:color w:val="auto"/>
          <w:sz w:val="32"/>
          <w:szCs w:val="32"/>
          <w:highlight w:val="none"/>
          <w:lang w:val="en-US" w:eastAsia="zh-CN"/>
        </w:rPr>
        <w:t>投资结构不断优化。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全年实现规模以上固定资产投资340.09亿元，同比下降1.6%。其中，工业投资同比增长14.2%；建筑安装工程投资同比下降21.7%；高技术产业投资占比24.2%。分类型看，规上项目投资同比增长5.0%；房地产开发投资同比下降77.6%。全年商品房销售面积60.00万平方米，同比下降32.0%；本年商品房销售额42.51亿元，同比下降40.2%。</w:t>
      </w:r>
    </w:p>
    <w:p w14:paraId="74D55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</w:pPr>
      <w:r>
        <w:rPr>
          <w:rFonts w:hint="eastAsia" w:ascii="方正楷体_GBK" w:eastAsia="方正楷体_GBK"/>
          <w:color w:val="auto"/>
          <w:sz w:val="32"/>
          <w:szCs w:val="32"/>
          <w:highlight w:val="none"/>
          <w:lang w:val="en-US" w:eastAsia="zh-CN"/>
        </w:rPr>
        <w:t>重大项目投入加快。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新招引亿元以上项目120个，协议引资额601.39亿元；其中工业项目101个，30亿元以上项目5个。新开工、新竣工亿元以上项目分别为80个、60个；其中工业项目分别为60个、40个。21个项目当年开竣工，8个项目竣工即列统。开展“工业质效提升年”行动，积极推进“智改数转网联”，实施亿元技改项目22个、技改投资83.5亿元。</w:t>
      </w:r>
    </w:p>
    <w:p w14:paraId="7CCE83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100" w:afterLines="100" w:line="596" w:lineRule="exact"/>
        <w:jc w:val="center"/>
        <w:textAlignment w:val="auto"/>
        <w:rPr>
          <w:rFonts w:ascii="黑体" w:hAnsi="黑体" w:eastAsia="黑体"/>
          <w:color w:val="auto"/>
          <w:sz w:val="30"/>
          <w:szCs w:val="30"/>
          <w:highlight w:val="none"/>
        </w:rPr>
      </w:pPr>
      <w:r>
        <w:rPr>
          <w:rFonts w:hint="eastAsia" w:ascii="黑体" w:hAnsi="黑体" w:eastAsia="黑体"/>
          <w:color w:val="auto"/>
          <w:sz w:val="30"/>
          <w:szCs w:val="30"/>
          <w:highlight w:val="none"/>
        </w:rPr>
        <w:t>五、国内贸易和开放型经济</w:t>
      </w:r>
    </w:p>
    <w:p w14:paraId="14A009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</w:pPr>
      <w:r>
        <w:rPr>
          <w:rFonts w:hint="eastAsia" w:ascii="方正楷体_GBK" w:eastAsia="方正楷体_GBK"/>
          <w:color w:val="auto"/>
          <w:sz w:val="32"/>
          <w:szCs w:val="32"/>
          <w:highlight w:val="none"/>
          <w:lang w:val="en-US" w:eastAsia="zh-CN"/>
        </w:rPr>
        <w:t>消费潜力持续释放。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全年实现社会消费品零售总额295.94亿元，同比增长5.7%。批发业实现销售额475.29亿元，同比增长7.3%；零售业实现销售额295.65亿元，同比增长9.1%；住宿业实现营业额7.85亿元，同比增长15.0%；餐饮业实现营业额74.95亿元，同比增长13.1%。</w:t>
      </w:r>
      <w:r>
        <w:rPr>
          <w:rFonts w:hint="default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发挥“苏超”“淮超”撬动作用，在重点商圈开辟“第二现场”，组织“非遗国潮季”等主题集市，编排“百场好戏夜游未尽”系列演艺节目，推出《河下人家》等融媒微短剧，以“票根”串联多元消费场景。用好家装家居家电等专项消费补贴政策，累计带动销售超4.8万件，发放补贴资金3.2亿元，惠及商户超300家。</w:t>
      </w:r>
    </w:p>
    <w:p w14:paraId="3B76C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</w:pPr>
      <w:r>
        <w:rPr>
          <w:rFonts w:hint="eastAsia" w:ascii="方正楷体_GBK" w:eastAsia="方正楷体_GBK"/>
          <w:color w:val="auto"/>
          <w:sz w:val="32"/>
          <w:szCs w:val="32"/>
          <w:highlight w:val="none"/>
          <w:lang w:val="en-US" w:eastAsia="zh-CN"/>
        </w:rPr>
        <w:t>对外贸易质效提升。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全年全区外贸进出口总额为61.17亿元，同比增长6.6%。组织“走出去、请进来”系列活动，广泛拓宽“朋友圈”，在德国法兰克福建成淮安地方产品展示馆，服务本土优质产品“扬帆出海”；组织外贸企业参加境内外展会36场；对接京东、淘宝、抖音等平台，开展电商助力出口转内销活动。新招引外资项目12个，跨境电商进出口额增长11%，货物贸易额增长7%。</w:t>
      </w:r>
    </w:p>
    <w:p w14:paraId="0C26B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100" w:afterLines="100" w:line="596" w:lineRule="exact"/>
        <w:jc w:val="center"/>
        <w:textAlignment w:val="auto"/>
        <w:rPr>
          <w:rFonts w:ascii="黑体" w:hAnsi="黑体" w:eastAsia="黑体"/>
          <w:color w:val="auto"/>
          <w:sz w:val="30"/>
          <w:szCs w:val="30"/>
          <w:highlight w:val="none"/>
        </w:rPr>
      </w:pPr>
      <w:r>
        <w:rPr>
          <w:rFonts w:hint="eastAsia" w:ascii="黑体" w:hAnsi="黑体" w:eastAsia="黑体"/>
          <w:color w:val="auto"/>
          <w:sz w:val="30"/>
          <w:szCs w:val="30"/>
          <w:highlight w:val="none"/>
        </w:rPr>
        <w:t>六、交通运输、旅游业</w:t>
      </w:r>
    </w:p>
    <w:p w14:paraId="79B17E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</w:pPr>
      <w:r>
        <w:rPr>
          <w:rFonts w:hint="eastAsia" w:ascii="方正楷体_GBK" w:eastAsia="方正楷体_GBK"/>
          <w:color w:val="auto"/>
          <w:sz w:val="32"/>
          <w:szCs w:val="32"/>
          <w:highlight w:val="none"/>
          <w:lang w:val="en-US" w:eastAsia="zh-CN"/>
        </w:rPr>
        <w:t>交通运输增长稳定。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全年完成公路客运量345万人次，客运周转量1.3亿人公里。完成公路货运量729万吨，同比增长4.3%；货运周转量12.89亿吨公里，同比增长3.3%。完成水路货运量1236万吨，同比增长2.9%；货运周转量31.86亿吨公里，同比增长2.7%。完成港口吞吐量1644万吨，同比增长19.3%。全区现有公路总里程2316公里，其中等级公路2316公里，高速公路里程81公里，一级公路159公里。拥有公共汽（电）车456辆，客运量345万人次。</w:t>
      </w:r>
    </w:p>
    <w:p w14:paraId="495356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</w:pPr>
      <w:r>
        <w:rPr>
          <w:rFonts w:hint="eastAsia" w:ascii="方正楷体_GBK" w:eastAsia="方正楷体_GBK"/>
          <w:color w:val="auto"/>
          <w:sz w:val="32"/>
          <w:szCs w:val="32"/>
          <w:highlight w:val="none"/>
          <w:lang w:val="en-US" w:eastAsia="zh-CN"/>
        </w:rPr>
        <w:t>旅游市场繁荣活跃。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文旅市场持续升温，举办“非遗国潮季河下狂欢秀”“千年河下家国情缘”等系列特色文旅活动，完成花巷、湖嘴大街、估衣街等综合性改造，施耐庵罗贯中著书处正式对外开放，河下古镇单日最高客流突破16.8万人次，位居全省先进行列、领跑淮安市。全年接待游客超1300万人次、实现旅游综合收入131亿元，连续三年入选“全国市辖区旅游综合实力百强区”。</w:t>
      </w:r>
      <w:r>
        <w:rPr>
          <w:rFonts w:hint="default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匠心打造文化旅游目的地，施耐庵罗贯中著书处、蓝·数字文旅产业园等文旅项目开门迎客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。</w:t>
      </w:r>
    </w:p>
    <w:p w14:paraId="57C305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100" w:afterLines="100" w:line="596" w:lineRule="exact"/>
        <w:jc w:val="center"/>
        <w:textAlignment w:val="auto"/>
        <w:rPr>
          <w:rFonts w:ascii="黑体" w:hAnsi="黑体" w:eastAsia="黑体"/>
          <w:color w:val="auto"/>
          <w:sz w:val="30"/>
          <w:szCs w:val="30"/>
          <w:highlight w:val="none"/>
        </w:rPr>
      </w:pPr>
      <w:r>
        <w:rPr>
          <w:rFonts w:hint="eastAsia" w:ascii="黑体" w:hAnsi="黑体" w:eastAsia="黑体"/>
          <w:color w:val="auto"/>
          <w:sz w:val="30"/>
          <w:szCs w:val="30"/>
          <w:highlight w:val="none"/>
        </w:rPr>
        <w:t>七、财政、金融业</w:t>
      </w:r>
    </w:p>
    <w:p w14:paraId="4BC309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</w:pPr>
      <w:r>
        <w:rPr>
          <w:rFonts w:hint="eastAsia" w:ascii="方正楷体_GBK" w:eastAsia="方正楷体_GBK"/>
          <w:color w:val="auto"/>
          <w:sz w:val="32"/>
          <w:szCs w:val="32"/>
          <w:highlight w:val="none"/>
          <w:lang w:val="en-US" w:eastAsia="zh-CN"/>
        </w:rPr>
        <w:t>财政收入平稳增长。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全年完成一般公共预算收入44.38亿元，同比增长5.2%；其中，税收收入38.58亿元，同比增长6.6%；税收收入占一般公共预算收入比重达86.9%。全年上划中央四税34.10亿元，同比增长15.5%；政府性基金收入42.13亿元，同比增长2.8%。</w:t>
      </w:r>
    </w:p>
    <w:p w14:paraId="08488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</w:pPr>
      <w:r>
        <w:rPr>
          <w:rFonts w:hint="eastAsia" w:ascii="方正楷体_GBK" w:eastAsia="方正楷体_GBK"/>
          <w:color w:val="auto"/>
          <w:sz w:val="32"/>
          <w:szCs w:val="32"/>
          <w:highlight w:val="none"/>
          <w:lang w:val="en-US" w:eastAsia="zh-CN"/>
        </w:rPr>
        <w:t>支出结构不断优化。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全区一般公共预算支出111.16亿元，同比下降0.6%。主要支出中，社会保障和就业支出20.87亿元，同比增长7.0%；农林水支出19.11亿元，同比增长0.9%；教育支出18.94亿元，同比增长10.6%；一般公共服务支出8.46亿元，同比下降15.0%；住房保障支出9.90亿元，同比增长3.2%。</w:t>
      </w:r>
    </w:p>
    <w:p w14:paraId="6FE186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100" w:afterLines="100" w:line="596" w:lineRule="exact"/>
        <w:jc w:val="center"/>
        <w:textAlignment w:val="auto"/>
        <w:rPr>
          <w:rFonts w:ascii="黑体" w:hAnsi="黑体" w:eastAsia="黑体"/>
          <w:color w:val="auto"/>
          <w:sz w:val="30"/>
          <w:szCs w:val="30"/>
          <w:highlight w:val="none"/>
        </w:rPr>
      </w:pPr>
      <w:r>
        <w:rPr>
          <w:rFonts w:hint="eastAsia" w:ascii="黑体" w:hAnsi="黑体" w:eastAsia="黑体"/>
          <w:color w:val="auto"/>
          <w:sz w:val="30"/>
          <w:szCs w:val="30"/>
          <w:highlight w:val="none"/>
        </w:rPr>
        <w:t>八、科学技术、教育、文化和卫生</w:t>
      </w:r>
    </w:p>
    <w:p w14:paraId="10173D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</w:pPr>
      <w:r>
        <w:rPr>
          <w:rFonts w:hint="eastAsia" w:ascii="方正楷体_GBK" w:eastAsia="方正楷体_GBK"/>
          <w:color w:val="auto"/>
          <w:sz w:val="32"/>
          <w:szCs w:val="32"/>
          <w:highlight w:val="none"/>
          <w:lang w:val="en-US" w:eastAsia="zh-CN"/>
        </w:rPr>
        <w:t>科技创新步伐加快。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新招引、新竣工科技型项目分别达80个、50个，预计规上企业完成研发支出增长22.3%、高新技术产业产值占比提高1.1个百分点，有效期国家高新技术企业达124家、较上年净增21家，获评省企业研发管理体系贯标合格单位4家、省瞪羚企业2家，盐穴能源储备创新联合体入选省建设名单。举办高端人才精英赛南京邮电大学专场赛，开展“翔宇英才”贴薪行动，开设企业经营管理人才能力提升培训班，预计入选国家重大人才工程7人、省“双创计划”2个、市“淮上英才计划”6个，引进“科技副总”10人。</w:t>
      </w:r>
    </w:p>
    <w:p w14:paraId="394BB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</w:pPr>
      <w:r>
        <w:rPr>
          <w:rFonts w:hint="eastAsia" w:ascii="方正楷体_GBK" w:eastAsia="方正楷体_GBK"/>
          <w:color w:val="auto"/>
          <w:sz w:val="32"/>
          <w:szCs w:val="32"/>
          <w:highlight w:val="none"/>
          <w:lang w:val="en-US" w:eastAsia="zh-CN"/>
        </w:rPr>
        <w:t>教育事业优质发展。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年末拥有各类学校133所，其中普通中学31所，小学34所，幼儿园64所，中等职业学校2所，特殊教育学校1所，专门学校1所。各类学校专任教师9540人，其中幼儿园教师971人，小学教师3457人，普通中学教师4495人，职业教育学校教师</w:t>
      </w:r>
      <w:r>
        <w:rPr>
          <w:rFonts w:hint="default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582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人，特殊教育教师35人。各类学校在校学生113808人，比上年减少6126人，其中学前教育10910人，减少1958人；小学45348人，减少3790人；初中31192人，增加575人；高中17804人，增加221人。各类学校招收新生27840人，其中学前教育2699人，小学5621人，初中10058人，高中6481人。各类学校毕业生</w:t>
      </w:r>
      <w:r>
        <w:rPr>
          <w:rFonts w:hint="default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33177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人，其中学前教育5289人，小学9651人，初中9539人，高中5899人。</w:t>
      </w:r>
    </w:p>
    <w:p w14:paraId="11AFA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highlight w:val="yellow"/>
          <w:lang w:eastAsia="zh-CN"/>
        </w:rPr>
      </w:pPr>
      <w:r>
        <w:rPr>
          <w:rFonts w:hint="eastAsia" w:ascii="方正楷体_GBK" w:eastAsia="方正楷体_GBK"/>
          <w:color w:val="auto"/>
          <w:sz w:val="32"/>
          <w:szCs w:val="32"/>
          <w:highlight w:val="none"/>
          <w:lang w:val="en-US" w:eastAsia="zh-CN"/>
        </w:rPr>
        <w:t>文化事业水平提升。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打造青少年思政教育高地，</w:t>
      </w:r>
      <w:r>
        <w:rPr>
          <w:rFonts w:hint="default" w:ascii="Times New Roman" w:hAnsi="Times New Roman" w:eastAsia="方正仿宋_GBK" w:cs="Times New Roman"/>
          <w:sz w:val="32"/>
          <w:szCs w:val="21"/>
        </w:rPr>
        <w:t>原创儿童剧《新安旅行团》斩获中国儿童戏剧节优秀展演剧目奖，新安旅行团历史纪念馆光荣入选全国爱国主义教育示范基地、全国青少年教育基地。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修编历史文化名城保护规划，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创新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老宅庭院更新机制，获住建部推广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 w14:paraId="74CBE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</w:pPr>
      <w:r>
        <w:rPr>
          <w:rFonts w:hint="eastAsia" w:ascii="方正楷体_GBK" w:eastAsia="方正楷体_GBK"/>
          <w:color w:val="auto"/>
          <w:sz w:val="32"/>
          <w:szCs w:val="32"/>
          <w:highlight w:val="none"/>
          <w:lang w:val="en-US" w:eastAsia="zh-CN"/>
        </w:rPr>
        <w:t>卫生服务持续改善。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年末共有各类医院23个（区级医院7个、卫生院16个）、妇幼卫生保健机构1个、专科疾病防治院1个、疾病预防控制中心1个；共有病床4946张（含诊所、医务室，不包含社区卫生服务站，下同），共有卫生技术人员5393人，其中执业医师1702人、执业助理医师717人，注册护士2193人、药剂人员282人、检验人员390人，其他人员109人。</w:t>
      </w:r>
    </w:p>
    <w:p w14:paraId="420B4F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100" w:afterLines="100" w:line="596" w:lineRule="exact"/>
        <w:jc w:val="center"/>
        <w:textAlignment w:val="auto"/>
        <w:rPr>
          <w:rFonts w:ascii="黑体" w:hAnsi="黑体" w:eastAsia="黑体"/>
          <w:color w:val="auto"/>
          <w:sz w:val="30"/>
          <w:szCs w:val="30"/>
          <w:highlight w:val="none"/>
        </w:rPr>
      </w:pPr>
      <w:r>
        <w:rPr>
          <w:rFonts w:hint="eastAsia" w:ascii="黑体" w:hAnsi="黑体" w:eastAsia="黑体"/>
          <w:color w:val="auto"/>
          <w:sz w:val="30"/>
          <w:szCs w:val="30"/>
          <w:highlight w:val="none"/>
        </w:rPr>
        <w:t>九、人民生活、社会保障和环境保护</w:t>
      </w:r>
    </w:p>
    <w:p w14:paraId="738C1A8A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</w:pPr>
      <w:r>
        <w:rPr>
          <w:rFonts w:hint="eastAsia" w:ascii="方正楷体_GBK" w:eastAsia="方正楷体_GBK"/>
          <w:color w:val="auto"/>
          <w:sz w:val="32"/>
          <w:szCs w:val="32"/>
          <w:highlight w:val="none"/>
          <w:lang w:val="en-US" w:eastAsia="zh-CN"/>
        </w:rPr>
        <w:t>常住人口保持平稳。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年末常住人口77.34万人，比上年减少0.60万人；其中，城镇常住人口45.34万人，常住人口城镇化率58.6%。年末户籍户数32.27万户，户籍人口108.94万人，其中男性56.95万人、女性51.99万人；城镇户籍人口53.94万人，户籍人口城镇化率49.5%。</w:t>
      </w:r>
    </w:p>
    <w:p w14:paraId="75F05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</w:pPr>
      <w:r>
        <w:rPr>
          <w:rFonts w:hint="eastAsia" w:ascii="方正楷体_GBK" w:eastAsia="方正楷体_GBK"/>
          <w:color w:val="auto"/>
          <w:sz w:val="32"/>
          <w:szCs w:val="32"/>
          <w:highlight w:val="none"/>
          <w:lang w:val="en-US" w:eastAsia="zh-CN"/>
        </w:rPr>
        <w:t>居民收入稳步增加。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根据住户收支与生活状况调查，全年全区居民人均可支配收入38213元，较上年增加1979元，增长5.5%。按常住地分，城镇居民人均可支配收入46364元，较上年增加2129元，增长4.8%；农村居民人均可支配收入29197元，较上年增加1610元，增长5.8%。按收入构成看，工资性收入23521元为主要收入，占全部收入的61.6%；转移净收入增长最快，增幅为6.3%。全区居民人均消费支出24006元，同比增长7.2%。其中，教育文化娱乐类增速第一，增长10.0%；食品消费支出比重持平，恩格尔系数为29.0%。</w:t>
      </w:r>
    </w:p>
    <w:p w14:paraId="0E850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</w:pPr>
      <w:r>
        <w:rPr>
          <w:rFonts w:hint="default" w:ascii="方正楷体_GBK" w:eastAsia="方正楷体_GBK"/>
          <w:color w:val="auto"/>
          <w:sz w:val="32"/>
          <w:szCs w:val="32"/>
          <w:highlight w:val="none"/>
          <w:lang w:val="en-US" w:eastAsia="zh-CN"/>
        </w:rPr>
        <w:t>社保体系不断完善。</w:t>
      </w:r>
      <w:r>
        <w:rPr>
          <w:rFonts w:hint="default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聚焦“一老一小”，新改建示范性乡村互助养老睦邻点10个，为1745名特殊困难老年人购买居家养老服务；推动11家公立幼儿园设置托班，新增普惠托位460个。实施困难残疾人家庭无障碍改造40户，新增残疾人就业404人。发放各类救助资金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2.73</w:t>
      </w:r>
      <w:r>
        <w:rPr>
          <w:rFonts w:hint="default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亿元，惠及困难群众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4.45</w:t>
      </w:r>
      <w:r>
        <w:rPr>
          <w:rFonts w:hint="default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万人。关天培小学、区慈善总会荣获江苏慈善奖。开展根治欠薪专项行动，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创成</w:t>
      </w:r>
      <w:r>
        <w:rPr>
          <w:rFonts w:hint="default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省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级</w:t>
      </w:r>
      <w:r>
        <w:rPr>
          <w:rFonts w:hint="default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智能仲裁院，化解劳动争议和农民工工资纠纷1436件，追发农民工工资3164万元。</w:t>
      </w:r>
    </w:p>
    <w:p w14:paraId="7813B0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</w:pPr>
      <w:r>
        <w:rPr>
          <w:rFonts w:hint="eastAsia" w:ascii="方正楷体_GBK" w:eastAsia="方正楷体_GBK"/>
          <w:color w:val="auto"/>
          <w:sz w:val="32"/>
          <w:szCs w:val="32"/>
          <w:highlight w:val="none"/>
          <w:lang w:val="en-US" w:eastAsia="zh-CN"/>
        </w:rPr>
        <w:t>环境质量持续改善。</w:t>
      </w:r>
      <w:r>
        <w:rPr>
          <w:rFonts w:hint="default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高标准抓好中央、省生态环保督察反馈问题整改。白马湖南闸应急水源地通过省级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初步核验</w:t>
      </w:r>
      <w:r>
        <w:rPr>
          <w:rFonts w:hint="default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。扎实推进大运河沿线综合治理，完成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淮河流域</w:t>
      </w:r>
      <w:r>
        <w:rPr>
          <w:rFonts w:hint="default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排污口整治1396个，新建城镇污水管道26公里。实施大气污染防治项目5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个，PM2.5平均浓度同比改善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6.7</w:t>
      </w:r>
      <w:r>
        <w:rPr>
          <w:rFonts w:hint="default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%，优良天数比率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82</w:t>
      </w:r>
      <w:r>
        <w:rPr>
          <w:rFonts w:hint="default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%。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扎实做好</w:t>
      </w:r>
      <w:r>
        <w:rPr>
          <w:rFonts w:hint="default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高风险遗留地块土壤污染状况调查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。</w:t>
      </w:r>
    </w:p>
    <w:p w14:paraId="20C8C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注：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（1）本公报使用的数据为快报数。</w:t>
      </w:r>
    </w:p>
    <w:p w14:paraId="5F16A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（2）除注明外，所有增长或下降速度均为同上年相比较。</w:t>
      </w:r>
    </w:p>
    <w:p w14:paraId="70F29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）地区生产总值、规模以上工业增加值及其分类项目增长速度按可比价计算，为实际增长速度；其他指标除特殊说明外，按现价计算，为名义增长速度。</w:t>
      </w:r>
    </w:p>
    <w:p w14:paraId="0EA0E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（4）</w:t>
      </w:r>
      <w:r>
        <w:rPr>
          <w:rFonts w:hint="eastAsia" w:ascii="Times New Roman" w:hAnsi="Times New Roman" w:eastAsia="方正仿宋_GBK" w:cs="Times New Roman"/>
          <w:sz w:val="32"/>
          <w:szCs w:val="21"/>
          <w:highlight w:val="none"/>
          <w:lang w:val="en-US" w:eastAsia="zh-CN"/>
        </w:rPr>
        <w:t>部分指标数据因统计口径调整，较上年不具可比性。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2MmNlMzczMDE4ZjJlYWYwMGE3NzI0YzI5NTAyOGMifQ=="/>
  </w:docVars>
  <w:rsids>
    <w:rsidRoot w:val="00000000"/>
    <w:rsid w:val="002724C6"/>
    <w:rsid w:val="009344C6"/>
    <w:rsid w:val="00CA637E"/>
    <w:rsid w:val="01FD0F0F"/>
    <w:rsid w:val="02BF797B"/>
    <w:rsid w:val="02E206A6"/>
    <w:rsid w:val="02E5311B"/>
    <w:rsid w:val="04BD2A31"/>
    <w:rsid w:val="06080C9C"/>
    <w:rsid w:val="06A8245F"/>
    <w:rsid w:val="074721FA"/>
    <w:rsid w:val="08D767A2"/>
    <w:rsid w:val="08DD4532"/>
    <w:rsid w:val="09F2400E"/>
    <w:rsid w:val="0AF54D9E"/>
    <w:rsid w:val="0D444D02"/>
    <w:rsid w:val="10564027"/>
    <w:rsid w:val="11282C98"/>
    <w:rsid w:val="144B4B4B"/>
    <w:rsid w:val="169C6255"/>
    <w:rsid w:val="17A93DE2"/>
    <w:rsid w:val="193E35D4"/>
    <w:rsid w:val="1B8A054A"/>
    <w:rsid w:val="1BF3513F"/>
    <w:rsid w:val="1E4D5BE2"/>
    <w:rsid w:val="216A3B80"/>
    <w:rsid w:val="219C5C6F"/>
    <w:rsid w:val="24227531"/>
    <w:rsid w:val="25BB57AA"/>
    <w:rsid w:val="26964247"/>
    <w:rsid w:val="273E266C"/>
    <w:rsid w:val="27556C03"/>
    <w:rsid w:val="28D02F25"/>
    <w:rsid w:val="29630DA9"/>
    <w:rsid w:val="296F6CA5"/>
    <w:rsid w:val="29B36EBE"/>
    <w:rsid w:val="2BB650CF"/>
    <w:rsid w:val="2D723563"/>
    <w:rsid w:val="2E441B10"/>
    <w:rsid w:val="2FC4582C"/>
    <w:rsid w:val="31703514"/>
    <w:rsid w:val="322D595C"/>
    <w:rsid w:val="32EE78AF"/>
    <w:rsid w:val="33356193"/>
    <w:rsid w:val="350729A5"/>
    <w:rsid w:val="35257EBF"/>
    <w:rsid w:val="3527393A"/>
    <w:rsid w:val="352A4C46"/>
    <w:rsid w:val="3747333B"/>
    <w:rsid w:val="37936BCB"/>
    <w:rsid w:val="3CE81A7C"/>
    <w:rsid w:val="3E392D5A"/>
    <w:rsid w:val="3EA6303D"/>
    <w:rsid w:val="3FFE1B61"/>
    <w:rsid w:val="41283EAE"/>
    <w:rsid w:val="41E7318A"/>
    <w:rsid w:val="41F663E1"/>
    <w:rsid w:val="42537038"/>
    <w:rsid w:val="46EE20C4"/>
    <w:rsid w:val="470D1EAB"/>
    <w:rsid w:val="478C4E3C"/>
    <w:rsid w:val="47BA08C7"/>
    <w:rsid w:val="48715537"/>
    <w:rsid w:val="48C947E7"/>
    <w:rsid w:val="49900B72"/>
    <w:rsid w:val="4A7E7B8C"/>
    <w:rsid w:val="4C1170CB"/>
    <w:rsid w:val="4C561B3E"/>
    <w:rsid w:val="4D8D1C53"/>
    <w:rsid w:val="4ED447FD"/>
    <w:rsid w:val="4FBE7D1A"/>
    <w:rsid w:val="51502047"/>
    <w:rsid w:val="521F1A72"/>
    <w:rsid w:val="524D522F"/>
    <w:rsid w:val="52A86F2C"/>
    <w:rsid w:val="54162BD6"/>
    <w:rsid w:val="54192FB8"/>
    <w:rsid w:val="550E7937"/>
    <w:rsid w:val="550F7DE4"/>
    <w:rsid w:val="55EE7B38"/>
    <w:rsid w:val="56FF24A2"/>
    <w:rsid w:val="5706331C"/>
    <w:rsid w:val="57EE25AF"/>
    <w:rsid w:val="58664F84"/>
    <w:rsid w:val="5A601E9A"/>
    <w:rsid w:val="5BF44F90"/>
    <w:rsid w:val="5C7F2624"/>
    <w:rsid w:val="5F105C3D"/>
    <w:rsid w:val="5F8B04F2"/>
    <w:rsid w:val="625935EA"/>
    <w:rsid w:val="634B0E47"/>
    <w:rsid w:val="63900A77"/>
    <w:rsid w:val="648D1BC4"/>
    <w:rsid w:val="673A2DBF"/>
    <w:rsid w:val="675F318C"/>
    <w:rsid w:val="68282DCF"/>
    <w:rsid w:val="69103BA2"/>
    <w:rsid w:val="69A32D46"/>
    <w:rsid w:val="69C02956"/>
    <w:rsid w:val="6B447698"/>
    <w:rsid w:val="6B4B7308"/>
    <w:rsid w:val="6BDB3A77"/>
    <w:rsid w:val="6D4F6390"/>
    <w:rsid w:val="6E597D3A"/>
    <w:rsid w:val="6F372C75"/>
    <w:rsid w:val="6FA74E9B"/>
    <w:rsid w:val="6FD62EEF"/>
    <w:rsid w:val="71CA03B0"/>
    <w:rsid w:val="7353755A"/>
    <w:rsid w:val="759537CC"/>
    <w:rsid w:val="75C51107"/>
    <w:rsid w:val="75E00CD6"/>
    <w:rsid w:val="767B20DE"/>
    <w:rsid w:val="795E1667"/>
    <w:rsid w:val="79FD45AC"/>
    <w:rsid w:val="7A026BAA"/>
    <w:rsid w:val="7A3809B0"/>
    <w:rsid w:val="7A8D6B15"/>
    <w:rsid w:val="7A97500D"/>
    <w:rsid w:val="7B246BFA"/>
    <w:rsid w:val="7B5E0F5E"/>
    <w:rsid w:val="7C143233"/>
    <w:rsid w:val="7C8F003B"/>
    <w:rsid w:val="7E522C41"/>
    <w:rsid w:val="7EB45671"/>
    <w:rsid w:val="7EE1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bjh-p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6d16017f-fc67-4e1e-9f0f-d75b1e1fcd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3852</Words>
  <Characters>4571</Characters>
  <Lines>0</Lines>
  <Paragraphs>0</Paragraphs>
  <TotalTime>125</TotalTime>
  <ScaleCrop>false</ScaleCrop>
  <LinksUpToDate>false</LinksUpToDate>
  <CharactersWithSpaces>4571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2021-03-29T01:23:00Z</dcterms:created>
  <dc:creator>hp</dc:creator>
  <cp:lastModifiedBy>I Am Legend</cp:lastModifiedBy>
  <cp:lastPrinted>2026-08-10T01:46:18Z</cp:lastPrinted>
  <dcterms:modified xsi:type="dcterms:W3CDTF">2026-08-10T02:19:12Z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SaveFontToCloudKey">
    <vt:lpwstr>423726915_cloud</vt:lpwstr>
  </property>
  <property fmtid="{D5CDD505-2E9C-101B-9397-08002B2CF9AE}" pid="4" name="ICV">
    <vt:lpwstr>9264F50BBFA240BE8DB2EF675A164701_13</vt:lpwstr>
  </property>
  <property fmtid="{D5CDD505-2E9C-101B-9397-08002B2CF9AE}" pid="5" name="KSOTemplateDocerSaveRecord">
    <vt:lpwstr>eyJoZGlkIjoiYjA4MWY2ZDhhYjU1NTY0OGM0MzNkZGViMTZlNzAwNTQiLCJ1c2VySWQiOiIzMDI4Nzc4NzYifQ==</vt:lpwstr>
  </property>
</Properties>
</file>