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11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黑体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黑体" w:eastAsia="方正小标宋_GBK" w:cs="Times New Roman"/>
          <w:sz w:val="44"/>
          <w:szCs w:val="44"/>
          <w:highlight w:val="none"/>
          <w:lang w:val="en-US" w:eastAsia="zh-CN"/>
        </w:rPr>
        <w:t>2025年全区经济运行情况分析</w:t>
      </w:r>
    </w:p>
    <w:p w14:paraId="7AB5C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Style w:val="4"/>
          <w:rFonts w:hint="eastAsia" w:ascii="Times New Roman" w:hAnsi="Times New Roman"/>
          <w:color w:val="000000"/>
          <w:sz w:val="32"/>
          <w:szCs w:val="32"/>
          <w:highlight w:val="none"/>
          <w:lang w:eastAsia="zh-CN"/>
        </w:rPr>
      </w:pPr>
    </w:p>
    <w:p w14:paraId="69346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2025年，淮安区锚定高质量发展目标，紧扣“十四五”收官要求，在项目建设、企业培育、产业升级等赛道全力冲刺，全区经济基本盘持续扩大，经济发展质量不断提升</w:t>
      </w:r>
      <w:r>
        <w:rPr>
          <w:rStyle w:val="4"/>
          <w:rFonts w:hint="eastAsia" w:ascii="方正仿宋_GBK" w:hAnsi="方正仿宋_GBK" w:cs="方正仿宋_GBK"/>
          <w:color w:val="000000"/>
          <w:sz w:val="32"/>
          <w:szCs w:val="32"/>
          <w:highlight w:val="none"/>
          <w:lang w:eastAsia="zh-CN"/>
        </w:rPr>
        <w:t>，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全区实现地区生产总值</w:t>
      </w:r>
      <w:r>
        <w:rPr>
          <w:rStyle w:val="4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883.53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亿元，同比增长</w:t>
      </w:r>
      <w:r>
        <w:rPr>
          <w:rStyle w:val="4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6.2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%。其中：第一产业增加值</w:t>
      </w:r>
      <w:r>
        <w:rPr>
          <w:rStyle w:val="4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93.61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亿元，增幅4.</w:t>
      </w:r>
      <w:r>
        <w:rPr>
          <w:rStyle w:val="4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%；第二产业增加值</w:t>
      </w:r>
      <w:r>
        <w:rPr>
          <w:rStyle w:val="4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342.85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亿元，增幅</w:t>
      </w:r>
      <w:r>
        <w:rPr>
          <w:rStyle w:val="4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4.3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%；第三产业增加值</w:t>
      </w:r>
      <w:r>
        <w:rPr>
          <w:rStyle w:val="4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447.07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亿元，增幅</w:t>
      </w:r>
      <w:r>
        <w:rPr>
          <w:rStyle w:val="4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8.3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%。</w:t>
      </w:r>
    </w:p>
    <w:p w14:paraId="2E7B3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eastAsia" w:eastAsia="方正仿宋_GBK" w:cs="Times New Roman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（一）农业生产总体稳定。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highlight w:val="none"/>
          <w:lang w:val="en-US" w:eastAsia="zh-CN" w:bidi="ar"/>
        </w:rPr>
        <w:t>2025年，全区</w:t>
      </w:r>
      <w:r>
        <w:rPr>
          <w:rFonts w:hint="eastAsia" w:ascii="方正仿宋_GBK" w:hAnsi="方正仿宋_GBK" w:cs="方正仿宋_GBK"/>
          <w:color w:val="000000"/>
          <w:kern w:val="0"/>
          <w:sz w:val="31"/>
          <w:szCs w:val="31"/>
          <w:highlight w:val="none"/>
          <w:lang w:val="en-US" w:eastAsia="zh-CN" w:bidi="ar"/>
        </w:rPr>
        <w:t>实现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highlight w:val="none"/>
          <w:lang w:val="en-US" w:eastAsia="zh-CN" w:bidi="ar"/>
        </w:rPr>
        <w:t>农林牧渔业总产值155.22亿元，实现农林牧渔业增加值98.30亿元，按可比价格计算，同比增长4.3%，增速较前三季度降低0.3个百分点，较2024年全年回落0.3个百分点，增长态势虽略有放缓，但总体保持稳健。</w:t>
      </w:r>
      <w:r>
        <w:rPr>
          <w:rFonts w:hint="eastAsia" w:ascii="方正仿宋_GBK" w:hAnsi="方正仿宋_GBK" w:eastAsia="方正仿宋_GBK" w:cs="方正仿宋_GBK"/>
          <w:sz w:val="32"/>
          <w:szCs w:val="22"/>
          <w:highlight w:val="none"/>
          <w:lang w:val="en-US" w:eastAsia="zh-CN"/>
        </w:rPr>
        <w:t>其中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highlight w:val="none"/>
          <w:lang w:val="en-US" w:eastAsia="zh-CN" w:bidi="ar"/>
        </w:rPr>
        <w:t>农林牧渔</w:t>
      </w:r>
      <w:r>
        <w:rPr>
          <w:rFonts w:hint="eastAsia" w:ascii="方正仿宋_GBK" w:hAnsi="方正仿宋_GBK" w:eastAsia="方正仿宋_GBK" w:cs="方正仿宋_GBK"/>
          <w:sz w:val="32"/>
          <w:szCs w:val="22"/>
          <w:highlight w:val="none"/>
          <w:lang w:val="en-US" w:eastAsia="zh-CN"/>
        </w:rPr>
        <w:t>服务业增加值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highlight w:val="none"/>
          <w:lang w:val="en-US" w:eastAsia="zh-CN" w:bidi="ar"/>
        </w:rPr>
        <w:t>4.68</w:t>
      </w:r>
      <w:r>
        <w:rPr>
          <w:rFonts w:hint="eastAsia" w:ascii="方正仿宋_GBK" w:hAnsi="方正仿宋_GBK" w:eastAsia="方正仿宋_GBK" w:cs="方正仿宋_GBK"/>
          <w:sz w:val="32"/>
          <w:szCs w:val="22"/>
          <w:highlight w:val="none"/>
          <w:lang w:val="en-US" w:eastAsia="zh-CN"/>
        </w:rPr>
        <w:t>亿元，可比价增长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highlight w:val="none"/>
          <w:lang w:val="en-US" w:eastAsia="zh-CN" w:bidi="ar"/>
        </w:rPr>
        <w:t>5.0</w:t>
      </w:r>
      <w:r>
        <w:rPr>
          <w:rFonts w:hint="eastAsia" w:ascii="方正仿宋_GBK" w:hAnsi="方正仿宋_GBK" w:eastAsia="方正仿宋_GBK" w:cs="方正仿宋_GBK"/>
          <w:sz w:val="32"/>
          <w:szCs w:val="22"/>
          <w:highlight w:val="none"/>
          <w:lang w:val="en-US" w:eastAsia="zh-CN"/>
        </w:rPr>
        <w:t>%。</w:t>
      </w:r>
    </w:p>
    <w:p w14:paraId="05E98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Style w:val="4"/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（二）生产领域平稳增长。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2025年，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规模以上工业增加值同比增长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10.9%，高于全市平均水平2.8个百分点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2025年，全区规模以上工业企业共涉及32个行业大类，其中21个行业产值实现正增长，增长面达65.6%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。从增速看，17个行业快于全区平均，其中2个行业增速超100%，分别是：废弃资源综合利用业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酒、饮料和精制茶制造业，增幅分别为：143.4%、129.1%。从增量看，有15个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行业产值增量超亿元，其中4个行业增量超10亿元，分别为：化学原料和化学制品制造业、废弃资源综合利用业、食品制造业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 w:bidi="ar-SA"/>
        </w:rPr>
        <w:t>以及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计算机、通信和其他电子设备制造业。</w:t>
      </w:r>
    </w:p>
    <w:p w14:paraId="33E0A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（三）固定资产投资同比下降</w:t>
      </w: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2025年，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全区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 w:bidi="ar-SA"/>
        </w:rPr>
        <w:t>实现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规模以上固定资产投资340.09亿元，同比下降1.6%，全市第6；工业投资296.11亿元，同比增长14.2%，全市第4；工业技改投资83.58亿元，占工业投资比重28.2%，同比下降4.5%；民间投资272.27亿元，占总投资比重86.1%，增速5.6%；商品房销售面积59.99万平方米，同比下降32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 w:bidi="ar-SA"/>
        </w:rPr>
        <w:t>.0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%，全市第6。</w:t>
      </w:r>
    </w:p>
    <w:p w14:paraId="03EB4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（四）消费潜力稳步释放。</w:t>
      </w:r>
      <w:r>
        <w:rPr>
          <w:rStyle w:val="4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2025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年，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社会消费品零售总额实现295.9</w:t>
      </w:r>
      <w:r>
        <w:rPr>
          <w:rFonts w:hint="eastAsia" w:ascii="方正仿宋_GBK" w:hAnsi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亿元，同比增长5.7%，排名全市第</w:t>
      </w:r>
      <w:r>
        <w:rPr>
          <w:rFonts w:hint="eastAsia" w:ascii="方正仿宋_GBK" w:hAnsi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Style w:val="4"/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分行业看，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批零住餐四个行业分别实现贸易额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lang w:val="en-US" w:eastAsia="zh-CN"/>
        </w:rPr>
        <w:t>475.29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lang w:val="en-US" w:eastAsia="zh-CN"/>
        </w:rPr>
        <w:t>295.66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lang w:val="en-US" w:eastAsia="zh-CN"/>
        </w:rPr>
        <w:t>7.85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lang w:val="en-US" w:eastAsia="zh-CN"/>
        </w:rPr>
        <w:t>74.95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亿元，分别同比增长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7.3%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9.1%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15.0%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13.1%</w:t>
      </w:r>
      <w:r>
        <w:rPr>
          <w:rStyle w:val="4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。“以旧换新”促消费政策效应持续显现，2025年，限上批零行业累计实现销售额294.28亿元，同比增长7.2%，其中限上批发业累计实现销售额246.70亿元，同比增长6.2%，限上零售业累计实现销售额47.58亿元，同比增长18.5%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电动自行车及家用电器零售增速迅猛，分别同比增长24.1%、57.8%。</w:t>
      </w:r>
    </w:p>
    <w:p w14:paraId="003A65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firstLine="640" w:firstLineChars="200"/>
        <w:textAlignment w:val="auto"/>
        <w:rPr>
          <w:rStyle w:val="4"/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Times New Roman" w:hAnsi="Times New Roman" w:eastAsia="方正楷体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服务业发展态势良好。</w:t>
      </w:r>
      <w:r>
        <w:rPr>
          <w:rStyle w:val="4"/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2025年1</w:t>
      </w:r>
      <w:r>
        <w:rPr>
          <w:rStyle w:val="4"/>
          <w:rFonts w:hint="eastAsia" w:ascii="方正仿宋_GBK" w:hAnsi="方正仿宋_GBK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Style w:val="4"/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11月全区规模以上服务业累计实现营业收入245.5亿元，同比增长46.7%。其中核算行业累计实现</w:t>
      </w:r>
      <w:r>
        <w:rPr>
          <w:rStyle w:val="4"/>
          <w:rFonts w:hint="eastAsia" w:ascii="方正仿宋_GBK" w:hAnsi="方正仿宋_GBK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营业收入</w:t>
      </w:r>
      <w:r>
        <w:rPr>
          <w:rStyle w:val="4"/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169.4亿元，同比增长61.4%。十个核算行业增幅分别为152.8%、42.0%、59.1%、1.9%、61.7%、74.7%、1.4%、12.0%、3.9%、23.2%</w:t>
      </w:r>
    </w:p>
    <w:p w14:paraId="25916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六）</w:t>
      </w:r>
      <w:r>
        <w:rPr>
          <w:rFonts w:hint="eastAsia" w:ascii="Times New Roman" w:hAnsi="Times New Roman" w:eastAsia="方正楷体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居民收入平稳增长。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2025年，淮安区全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体居民人均可支配收入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38213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元，同比增长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%，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增速排名全市并列第2，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高于全市0.1个百分点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025年城乡居民收入延续“农村快于城镇”的增长格局，收入差距进一步缩小。城镇居民人均可支配收入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46364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元，同比增长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%；农村居民人均可支配收入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29197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元，同比增长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%。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城乡居民可支配收入之比由上年同期的1.60:1降为1.59:1，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城乡发展差距进一步缩小。</w:t>
      </w:r>
    </w:p>
    <w:p w14:paraId="1D32C32C"/>
    <w:sectPr>
      <w:pgSz w:w="11906" w:h="16838"/>
      <w:pgMar w:top="2098" w:right="1474" w:bottom="1984" w:left="1588" w:header="851" w:footer="992" w:gutter="0"/>
      <w:cols w:space="0" w:num="1"/>
      <w:rtlGutter w:val="0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2228F"/>
    <w:rsid w:val="19CA5F2A"/>
    <w:rsid w:val="1BD2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jh-p"/>
    <w:basedOn w:val="3"/>
    <w:autoRedefine/>
    <w:qFormat/>
    <w:uiPriority w:val="0"/>
  </w:style>
  <w:style w:type="paragraph" w:customStyle="1" w:styleId="5">
    <w:name w:val="正文文本缩进1"/>
    <w:basedOn w:val="1"/>
    <w:autoRedefine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c18091b9-bcfb-4849-8c6a-951277031ea0</errorID>
      <errorWord>年全年全</errorWord>
      <group>L1_Word</group>
      <groupName>字词问题</groupName>
      <ability>L2_Typo</ability>
      <abilityName>字词错误</abilityName>
      <candidateList>
        <item>年全</item>
      </candidateList>
      <explain/>
      <paraID>30611C7B</paraID>
      <start>4</start>
      <end>6</end>
      <status>modified</status>
      <modifiedWord>年全</modifiedWord>
      <trackRevisions>false</trackRevisions>
    </reviewItem>
    <reviewItem>
      <errorID>e722727b-20d7-4b23-8168-cc33a48f7d28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 3A654A</paraID>
      <start>19</start>
      <end>20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d1dbe50-7323-4ef5-8722-c8d97b5c56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1121</Words>
  <Characters>1445</Characters>
  <Lines>0</Lines>
  <Paragraphs>0</Paragraphs>
  <TotalTime>27</TotalTime>
  <ScaleCrop>false</ScaleCrop>
  <LinksUpToDate>false</LinksUpToDate>
  <CharactersWithSpaces>1445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2026-03-06T01:37:00Z</dcterms:created>
  <dc:creator>I Am Legend</dc:creator>
  <cp:lastModifiedBy>I Am Legend</cp:lastModifiedBy>
  <dcterms:modified xsi:type="dcterms:W3CDTF">2026-03-18T07:31:50Z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2BD751EEBC394A24BA613758A782A18D_11</vt:lpwstr>
  </property>
  <property fmtid="{D5CDD505-2E9C-101B-9397-08002B2CF9AE}" pid="4" name="KSOTemplateDocerSaveRecord">
    <vt:lpwstr>eyJoZGlkIjoiYjA4MWY2ZDhhYjU1NTY0OGM0MzNkZGViMTZlNzAwNTQiLCJ1c2VySWQiOiIzMDI4Nzc4NzYifQ==</vt:lpwstr>
  </property>
</Properties>
</file>