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11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  <w:t>2025年前三季度全区经济运行情况</w:t>
      </w:r>
    </w:p>
    <w:bookmarkEnd w:id="0"/>
    <w:p w14:paraId="7AB5C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Style w:val="13"/>
          <w:rFonts w:hint="eastAsia" w:ascii="Times New Roman" w:hAnsi="Times New Roman"/>
          <w:color w:val="000000"/>
          <w:sz w:val="32"/>
          <w:szCs w:val="32"/>
          <w:highlight w:val="none"/>
          <w:lang w:eastAsia="zh-CN"/>
        </w:rPr>
      </w:pPr>
    </w:p>
    <w:p w14:paraId="69346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Style w:val="13"/>
          <w:rFonts w:hint="eastAsia" w:ascii="Times New Roman" w:hAnsi="Times New Roman" w:eastAsia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Style w:val="13"/>
          <w:rFonts w:hint="eastAsia" w:ascii="Times New Roman" w:hAnsi="Times New Roman"/>
          <w:color w:val="000000"/>
          <w:sz w:val="32"/>
          <w:szCs w:val="32"/>
          <w:highlight w:val="none"/>
          <w:lang w:val="en-US" w:eastAsia="zh-CN"/>
        </w:rPr>
        <w:t>今年以来，面对更趋错综复杂的宏观经济形势，全区上下积极应对外部环境变化，经济运行处于合理区间，高质量发展向新向好。前三</w:t>
      </w:r>
      <w:r>
        <w:rPr>
          <w:rStyle w:val="13"/>
          <w:rFonts w:hint="eastAsia" w:ascii="Times New Roman" w:hAnsi="Times New Roman"/>
          <w:color w:val="000000"/>
          <w:sz w:val="32"/>
          <w:szCs w:val="32"/>
          <w:highlight w:val="none"/>
          <w:lang w:eastAsia="zh-CN"/>
        </w:rPr>
        <w:t>季度</w:t>
      </w:r>
      <w:r>
        <w:rPr>
          <w:rStyle w:val="13"/>
          <w:rFonts w:ascii="Times New Roman" w:hAnsi="Times New Roman" w:eastAsia="方正仿宋_GBK"/>
          <w:color w:val="000000"/>
          <w:sz w:val="32"/>
          <w:szCs w:val="32"/>
          <w:highlight w:val="none"/>
        </w:rPr>
        <w:t>，</w:t>
      </w:r>
      <w:r>
        <w:rPr>
          <w:rStyle w:val="13"/>
          <w:rFonts w:hint="eastAsia" w:ascii="Times New Roman" w:hAnsi="Times New Roman" w:eastAsia="方正仿宋_GBK"/>
          <w:color w:val="000000"/>
          <w:sz w:val="32"/>
          <w:szCs w:val="32"/>
          <w:highlight w:val="none"/>
          <w:lang w:val="en-US" w:eastAsia="zh-CN"/>
        </w:rPr>
        <w:t>全区实现地区生产总值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610.4</w:t>
      </w:r>
      <w:r>
        <w:rPr>
          <w:rStyle w:val="13"/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Style w:val="13"/>
          <w:rFonts w:hint="eastAsia" w:ascii="Times New Roman" w:hAnsi="Times New Roman" w:eastAsia="方正仿宋_GBK"/>
          <w:color w:val="000000"/>
          <w:sz w:val="32"/>
          <w:szCs w:val="32"/>
          <w:highlight w:val="none"/>
          <w:lang w:val="en-US" w:eastAsia="zh-CN"/>
        </w:rPr>
        <w:t>亿元，按照可比价格计算，同比增长</w:t>
      </w:r>
      <w:r>
        <w:rPr>
          <w:rStyle w:val="13"/>
          <w:rFonts w:hint="eastAsia" w:ascii="Times New Roman" w:hAnsi="Times New Roman"/>
          <w:color w:val="000000"/>
          <w:sz w:val="32"/>
          <w:szCs w:val="32"/>
          <w:highlight w:val="none"/>
          <w:lang w:val="en-US" w:eastAsia="zh-CN"/>
        </w:rPr>
        <w:t>6.3</w:t>
      </w:r>
      <w:r>
        <w:rPr>
          <w:rStyle w:val="13"/>
          <w:rFonts w:hint="eastAsia" w:ascii="Times New Roman" w:hAnsi="Times New Roman" w:eastAsia="方正仿宋_GBK"/>
          <w:color w:val="000000"/>
          <w:sz w:val="32"/>
          <w:szCs w:val="32"/>
          <w:highlight w:val="none"/>
          <w:lang w:val="en-US" w:eastAsia="zh-CN"/>
        </w:rPr>
        <w:t>%。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其中，第一产业实现增加值43.87亿元，同比增长</w:t>
      </w:r>
      <w:r>
        <w:rPr>
          <w:rStyle w:val="13"/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4.5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%；第二产业实现增加值243.6</w:t>
      </w:r>
      <w:r>
        <w:rPr>
          <w:rStyle w:val="13"/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亿元，同比增长</w:t>
      </w:r>
      <w:r>
        <w:rPr>
          <w:rStyle w:val="13"/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7.1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%；第三产业实现增加值322.9</w:t>
      </w:r>
      <w:r>
        <w:rPr>
          <w:rStyle w:val="13"/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亿元，同比增长</w:t>
      </w:r>
      <w:r>
        <w:rPr>
          <w:rStyle w:val="13"/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6.0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%。</w:t>
      </w:r>
      <w:r>
        <w:rPr>
          <w:rStyle w:val="13"/>
          <w:rFonts w:hint="eastAsia" w:ascii="Times New Roman" w:hAnsi="Times New Roman" w:eastAsia="方正仿宋_GBK"/>
          <w:color w:val="000000"/>
          <w:sz w:val="32"/>
          <w:szCs w:val="32"/>
          <w:highlight w:val="none"/>
          <w:lang w:val="en-US" w:eastAsia="zh-CN"/>
        </w:rPr>
        <w:t>三次产业比重为</w:t>
      </w:r>
      <w:r>
        <w:rPr>
          <w:rStyle w:val="13"/>
          <w:rFonts w:hint="eastAsia" w:ascii="Times New Roman" w:hAnsi="Times New Roman"/>
          <w:color w:val="000000"/>
          <w:sz w:val="32"/>
          <w:szCs w:val="32"/>
          <w:highlight w:val="none"/>
          <w:lang w:val="en-US" w:eastAsia="zh-CN"/>
        </w:rPr>
        <w:t>7.2</w:t>
      </w:r>
      <w:r>
        <w:rPr>
          <w:rStyle w:val="13"/>
          <w:rFonts w:hint="eastAsia" w:ascii="Times New Roman" w:hAnsi="Times New Roman" w:eastAsia="方正仿宋_GBK"/>
          <w:color w:val="000000"/>
          <w:sz w:val="32"/>
          <w:szCs w:val="32"/>
          <w:highlight w:val="none"/>
          <w:lang w:val="en-US" w:eastAsia="zh-CN"/>
        </w:rPr>
        <w:t>：</w:t>
      </w:r>
      <w:r>
        <w:rPr>
          <w:rStyle w:val="13"/>
          <w:rFonts w:hint="eastAsia" w:ascii="Times New Roman" w:hAnsi="Times New Roman"/>
          <w:color w:val="000000"/>
          <w:sz w:val="32"/>
          <w:szCs w:val="32"/>
          <w:highlight w:val="none"/>
          <w:lang w:val="en-US" w:eastAsia="zh-CN"/>
        </w:rPr>
        <w:t>39.9</w:t>
      </w:r>
      <w:r>
        <w:rPr>
          <w:rStyle w:val="13"/>
          <w:rFonts w:hint="eastAsia" w:ascii="Times New Roman" w:hAnsi="Times New Roman" w:eastAsia="方正仿宋_GBK"/>
          <w:color w:val="000000"/>
          <w:sz w:val="32"/>
          <w:szCs w:val="32"/>
          <w:highlight w:val="none"/>
          <w:lang w:val="en-US" w:eastAsia="zh-CN"/>
        </w:rPr>
        <w:t>：</w:t>
      </w:r>
      <w:r>
        <w:rPr>
          <w:rStyle w:val="13"/>
          <w:rFonts w:hint="eastAsia" w:ascii="Times New Roman" w:hAnsi="Times New Roman"/>
          <w:color w:val="000000"/>
          <w:sz w:val="32"/>
          <w:szCs w:val="32"/>
          <w:highlight w:val="none"/>
          <w:lang w:val="en-US" w:eastAsia="zh-CN"/>
        </w:rPr>
        <w:t>52.9</w:t>
      </w:r>
      <w:r>
        <w:rPr>
          <w:rStyle w:val="13"/>
          <w:rFonts w:hint="eastAsia" w:ascii="Times New Roman" w:hAnsi="Times New Roman" w:eastAsia="方正仿宋_GBK"/>
          <w:color w:val="000000"/>
          <w:sz w:val="32"/>
          <w:szCs w:val="32"/>
          <w:highlight w:val="none"/>
          <w:lang w:val="en-US" w:eastAsia="zh-CN"/>
        </w:rPr>
        <w:t>。</w:t>
      </w:r>
    </w:p>
    <w:p w14:paraId="469138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eastAsia="方正仿宋_GBK" w:cs="Times New Roman"/>
          <w:sz w:val="3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楷体_GBK"/>
          <w:b/>
          <w:bCs/>
          <w:sz w:val="32"/>
          <w:szCs w:val="32"/>
          <w:highlight w:val="none"/>
          <w:lang w:val="en-US" w:eastAsia="zh-CN"/>
        </w:rPr>
        <w:t>（一）农业生产总体稳定。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前三季度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，我区累计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实现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农林牧渔业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总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产值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73.26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元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方正仿宋_GBK" w:cs="Times New Roman"/>
          <w:sz w:val="32"/>
          <w:szCs w:val="22"/>
          <w:highlight w:val="none"/>
          <w:lang w:val="en-US" w:eastAsia="zh-CN"/>
        </w:rPr>
        <w:t>实现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</w:rPr>
        <w:t>农林牧渔业增加值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45.51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</w:rPr>
        <w:t>亿元</w:t>
      </w:r>
      <w:r>
        <w:rPr>
          <w:rFonts w:hint="eastAsia" w:eastAsia="方正仿宋_GBK" w:cs="Times New Roman"/>
          <w:sz w:val="32"/>
          <w:szCs w:val="22"/>
          <w:highlight w:val="none"/>
          <w:lang w:eastAsia="zh-CN"/>
        </w:rPr>
        <w:t>、</w:t>
      </w:r>
      <w:r>
        <w:rPr>
          <w:rFonts w:hint="eastAsia" w:eastAsia="方正仿宋_GBK" w:cs="Times New Roman"/>
          <w:sz w:val="32"/>
          <w:szCs w:val="22"/>
          <w:highlight w:val="none"/>
          <w:lang w:val="en-US" w:eastAsia="zh-CN"/>
        </w:rPr>
        <w:t>可比增长4.6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</w:rPr>
        <w:t>%</w:t>
      </w:r>
      <w:r>
        <w:rPr>
          <w:rFonts w:hint="eastAsia" w:eastAsia="方正仿宋_GBK" w:cs="Times New Roman"/>
          <w:sz w:val="32"/>
          <w:szCs w:val="22"/>
          <w:highlight w:val="none"/>
          <w:lang w:eastAsia="zh-CN"/>
        </w:rPr>
        <w:t>，</w:t>
      </w:r>
      <w:r>
        <w:rPr>
          <w:rFonts w:hint="eastAsia" w:eastAsia="方正仿宋_GBK" w:cs="Times New Roman"/>
          <w:sz w:val="32"/>
          <w:szCs w:val="22"/>
          <w:highlight w:val="none"/>
          <w:lang w:val="en-US" w:eastAsia="zh-CN"/>
        </w:rPr>
        <w:t>其中服务业增加值1.64亿元、可比增长8.5%。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</w:rPr>
        <w:t>生猪</w:t>
      </w:r>
      <w:r>
        <w:rPr>
          <w:rFonts w:hint="eastAsia" w:eastAsia="方正仿宋_GBK" w:cs="Times New Roman"/>
          <w:sz w:val="32"/>
          <w:szCs w:val="22"/>
          <w:highlight w:val="none"/>
          <w:lang w:val="en-US" w:eastAsia="zh-CN"/>
        </w:rPr>
        <w:t>当季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</w:rPr>
        <w:t>出栏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12.66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</w:rPr>
        <w:t>万头</w:t>
      </w:r>
      <w:r>
        <w:rPr>
          <w:rFonts w:hint="eastAsia" w:eastAsia="方正仿宋_GBK" w:cs="Times New Roman"/>
          <w:sz w:val="32"/>
          <w:szCs w:val="22"/>
          <w:highlight w:val="none"/>
          <w:lang w:eastAsia="zh-CN"/>
        </w:rPr>
        <w:t>，</w:t>
      </w:r>
      <w:r>
        <w:rPr>
          <w:rFonts w:hint="eastAsia" w:eastAsia="方正仿宋_GBK" w:cs="Times New Roman"/>
          <w:sz w:val="32"/>
          <w:szCs w:val="22"/>
          <w:highlight w:val="none"/>
          <w:lang w:val="en-US" w:eastAsia="zh-CN"/>
        </w:rPr>
        <w:t>下降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20.6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</w:rPr>
        <w:t>%</w:t>
      </w:r>
      <w:r>
        <w:rPr>
          <w:rFonts w:hint="eastAsia" w:eastAsia="方正仿宋_GBK" w:cs="Times New Roman"/>
          <w:sz w:val="32"/>
          <w:szCs w:val="22"/>
          <w:highlight w:val="none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sz w:val="32"/>
          <w:szCs w:val="22"/>
          <w:highlight w:val="none"/>
          <w:lang w:val="en-US" w:eastAsia="zh-CN"/>
        </w:rPr>
        <w:t>羊</w:t>
      </w:r>
      <w:r>
        <w:rPr>
          <w:rFonts w:hint="eastAsia" w:eastAsia="方正仿宋_GBK" w:cs="Times New Roman"/>
          <w:sz w:val="32"/>
          <w:szCs w:val="22"/>
          <w:highlight w:val="none"/>
          <w:lang w:val="en-US" w:eastAsia="zh-CN"/>
        </w:rPr>
        <w:t>当季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</w:rPr>
        <w:t>出栏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1514</w:t>
      </w:r>
      <w:r>
        <w:rPr>
          <w:rFonts w:hint="eastAsia" w:ascii="Times New Roman" w:hAnsi="Times New Roman" w:eastAsia="方正仿宋_GBK" w:cs="Times New Roman"/>
          <w:sz w:val="32"/>
          <w:szCs w:val="22"/>
          <w:highlight w:val="none"/>
          <w:lang w:val="en-US" w:eastAsia="zh-CN"/>
        </w:rPr>
        <w:t>只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</w:rPr>
        <w:t>，</w:t>
      </w:r>
      <w:r>
        <w:rPr>
          <w:rFonts w:hint="eastAsia" w:eastAsia="方正仿宋_GBK" w:cs="Times New Roman"/>
          <w:sz w:val="32"/>
          <w:szCs w:val="22"/>
          <w:highlight w:val="none"/>
          <w:lang w:val="en-US" w:eastAsia="zh-CN"/>
        </w:rPr>
        <w:t>增长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8.8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</w:rPr>
        <w:t>%；</w:t>
      </w:r>
      <w:r>
        <w:rPr>
          <w:rFonts w:hint="eastAsia" w:ascii="Times New Roman" w:hAnsi="Times New Roman" w:eastAsia="方正仿宋_GBK" w:cs="Times New Roman"/>
          <w:sz w:val="32"/>
          <w:szCs w:val="22"/>
          <w:highlight w:val="none"/>
          <w:lang w:val="en-US" w:eastAsia="zh-CN"/>
        </w:rPr>
        <w:t>家禽</w:t>
      </w:r>
      <w:r>
        <w:rPr>
          <w:rFonts w:hint="eastAsia" w:eastAsia="方正仿宋_GBK" w:cs="Times New Roman"/>
          <w:sz w:val="32"/>
          <w:szCs w:val="22"/>
          <w:highlight w:val="none"/>
          <w:lang w:val="en-US" w:eastAsia="zh-CN"/>
        </w:rPr>
        <w:t>当季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</w:rPr>
        <w:t>出栏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107.16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</w:rPr>
        <w:t>万</w:t>
      </w:r>
      <w:r>
        <w:rPr>
          <w:rFonts w:hint="eastAsia" w:ascii="Times New Roman" w:hAnsi="Times New Roman" w:eastAsia="方正仿宋_GBK" w:cs="Times New Roman"/>
          <w:sz w:val="32"/>
          <w:szCs w:val="22"/>
          <w:highlight w:val="none"/>
          <w:lang w:val="en-US" w:eastAsia="zh-CN"/>
        </w:rPr>
        <w:t>只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</w:rPr>
        <w:t>，</w:t>
      </w:r>
      <w:r>
        <w:rPr>
          <w:rFonts w:hint="eastAsia" w:eastAsia="方正仿宋_GBK" w:cs="Times New Roman"/>
          <w:sz w:val="32"/>
          <w:szCs w:val="22"/>
          <w:highlight w:val="none"/>
          <w:lang w:val="en-US" w:eastAsia="zh-CN"/>
        </w:rPr>
        <w:t>增长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9.8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</w:rPr>
        <w:t>%。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瓜果类本季度播种面积为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3220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亩，同比增长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单产每亩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2392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公斤，同比提高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3.3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%；总产量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7703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吨，同比增长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4.6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 w14:paraId="05E982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Style w:val="13"/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/>
          <w:b/>
          <w:bCs/>
          <w:sz w:val="32"/>
          <w:szCs w:val="32"/>
          <w:highlight w:val="none"/>
          <w:lang w:val="en-US" w:eastAsia="zh-CN"/>
        </w:rPr>
        <w:t>（二）工业生产较快增长。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前三季度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，全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区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规模以上工业增加值同比增长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6.3%，高于全市平均水平0.2个百分点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近六成行业实现增长，全区规模以上工业企业共涵盖32个行业，其中19个行业当月产值及累计产值均呈现正增长态势，增长面达到59.4%。有两个行业当月产值增长量超过1亿元，分别为化学原料和化学制品制造业、非金属矿物制品业。这两大行业涉及企业43家，当月共实现产值22.3亿元，较去年同期增长21.8%；累计实现产值184.61亿元，较去年同期增长26.2%，分别拉动全区当月增幅和累计增幅7.9、10.9个百分点。</w:t>
      </w:r>
    </w:p>
    <w:p w14:paraId="6E18F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eastAsia" w:ascii="Times New Roman" w:hAnsi="Times New Roman" w:eastAsia="方正楷体_GBK"/>
          <w:b/>
          <w:bCs/>
          <w:sz w:val="32"/>
          <w:szCs w:val="32"/>
          <w:highlight w:val="none"/>
          <w:lang w:val="en-US" w:eastAsia="zh-CN"/>
        </w:rPr>
        <w:t>投资增速小幅增长。</w:t>
      </w:r>
      <w:r>
        <w:rPr>
          <w:rStyle w:val="13"/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前三季度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，全区实现固定资产投资228.27亿元，同比增长3.3%，增速较二季度份下降6.2个百分点。其中，工业投资195.13亿元，同比增长18.9%，房地产开发投资5.20亿元，同比下降74.1%；工业技改投资占工业投资比重25.2%，同比下降24.2%；民间投资178.94亿元，占固定资产投资比重82.8%，同比增长7.8%；商品房销售面积40.67万平方米，同比下降28.5%，增速较二季度份下降16个百分点；建筑业完成规上总产值409.64亿元，同比增长5.0%，增速较二季度份提升了2.2个百分点。</w:t>
      </w:r>
    </w:p>
    <w:p w14:paraId="71A759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Style w:val="13"/>
          <w:rFonts w:hint="default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/>
          <w:b/>
          <w:bCs/>
          <w:sz w:val="32"/>
          <w:szCs w:val="32"/>
          <w:highlight w:val="none"/>
          <w:lang w:val="en-US" w:eastAsia="zh-CN"/>
        </w:rPr>
        <w:t>（四）商品消费基本稳定。</w:t>
      </w:r>
      <w:r>
        <w:rPr>
          <w:rStyle w:val="13"/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前三季度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，全区实现社会消费品零售总额227.53亿元，同比增长</w:t>
      </w:r>
      <w:r>
        <w:rPr>
          <w:rStyle w:val="13"/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5.7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%。</w:t>
      </w:r>
      <w:r>
        <w:rPr>
          <w:rStyle w:val="13"/>
          <w:rFonts w:hint="eastAsia" w:ascii="Times New Roman" w:hAnsi="Times New Roman" w:eastAsia="方正仿宋_GBK"/>
          <w:color w:val="000000"/>
          <w:sz w:val="32"/>
          <w:szCs w:val="32"/>
          <w:highlight w:val="none"/>
          <w:lang w:val="en-US" w:eastAsia="zh-CN"/>
        </w:rPr>
        <w:t>分行业看，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批零住餐四个行业贸易额分别同比增长</w:t>
      </w:r>
      <w:r>
        <w:rPr>
          <w:rStyle w:val="13"/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7.8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%、7.9%、</w:t>
      </w:r>
      <w:r>
        <w:rPr>
          <w:rStyle w:val="13"/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13.4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%和</w:t>
      </w:r>
      <w:r>
        <w:rPr>
          <w:rStyle w:val="13"/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7.7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%</w:t>
      </w:r>
      <w:r>
        <w:rPr>
          <w:rStyle w:val="13"/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。分商品类别看，基础生活类商品消费火爆，粮油食品类、服装鞋帽针纺织类、日用品类合计实现销售额32.9亿元，同比分别增长6.2%、3.5%、6.8%。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“苏超”火爆出圈，河下古镇、周恩来纪念馆、新安旅行团历史纪念馆等旅游景点热度高涨，带动住宿业发展迅速，以萧湖酒店、海棠宾馆等为代表的中高端酒店极大提升了我区游客接待能力，前三季度住宿业营业额增幅排名全市第一。</w:t>
      </w:r>
    </w:p>
    <w:p w14:paraId="71BB23E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firstLine="640" w:firstLineChars="200"/>
        <w:textAlignment w:val="auto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b/>
          <w:bCs/>
          <w:sz w:val="32"/>
          <w:szCs w:val="32"/>
          <w:highlight w:val="none"/>
          <w:lang w:val="en-US" w:eastAsia="zh-CN"/>
        </w:rPr>
        <w:t>（五）其他</w:t>
      </w:r>
      <w:r>
        <w:rPr>
          <w:rFonts w:hint="eastAsia" w:ascii="Times New Roman" w:hAnsi="Times New Roman" w:eastAsia="方正楷体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服务业加快发展。</w:t>
      </w:r>
      <w:r>
        <w:rPr>
          <w:rStyle w:val="13"/>
          <w:rFonts w:hint="eastAsia" w:ascii="Times New Roman" w:hAnsi="Times New Roman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1-8月份，</w:t>
      </w:r>
      <w:r>
        <w:rPr>
          <w:rStyle w:val="13"/>
          <w:rFonts w:hint="eastAsia" w:ascii="Times New Roman" w:hAnsi="Times New Roman" w:eastAsia="方正仿宋_GBK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全区规模以上服务业累计实现营业收入151.4亿元，同比增长41.8%。其中核算行业累计实现营收99.8亿元，同比增长57.0%。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十个核算行业增幅分别为172.4%、56.1%、34.5%、-20.9%、96.9%、79.6%、7.3%、5.4%、-3.1%和13.6%</w:t>
      </w:r>
      <w:r>
        <w:rPr>
          <w:rStyle w:val="13"/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。</w:t>
      </w:r>
    </w:p>
    <w:p w14:paraId="5CD995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Style w:val="13"/>
          <w:rFonts w:hint="eastAsia" w:ascii="Times New Roman" w:hAnsi="Times New Roman" w:eastAsia="方正仿宋_GBK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楷体_GBK"/>
          <w:b/>
          <w:bCs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楷体_GBK"/>
          <w:b/>
          <w:bCs/>
          <w:sz w:val="32"/>
          <w:szCs w:val="32"/>
          <w:highlight w:val="none"/>
          <w:lang w:val="en-US" w:eastAsia="zh-CN"/>
        </w:rPr>
        <w:t>六）</w:t>
      </w:r>
      <w:r>
        <w:rPr>
          <w:rFonts w:hint="eastAsia" w:ascii="Times New Roman" w:hAnsi="Times New Roman" w:eastAsia="方正楷体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居民收入平稳增长。</w:t>
      </w:r>
      <w:r>
        <w:rPr>
          <w:rStyle w:val="13"/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前三季度</w:t>
      </w:r>
      <w:r>
        <w:rPr>
          <w:rStyle w:val="13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Style w:val="13"/>
          <w:rFonts w:hint="eastAsia" w:ascii="Times New Roman" w:hAnsi="Times New Roman" w:eastAsia="方正仿宋_GBK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全区实现居民人均可支配收入29255元，同比增长5.5%。其中，城镇居民人均可支配收入35660元，同比增长4.8%；农村居民人均可支配收入22331元，同比增长5.8%。城乡居民收入差距进一步缩小，农村居民收入增速快于城镇居民</w:t>
      </w:r>
      <w:r>
        <w:rPr>
          <w:rStyle w:val="13"/>
          <w:rFonts w:hint="eastAsia" w:ascii="Times New Roman" w:hAnsi="Times New Roman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1.0个百分点，城乡居民可支配收入之比由上年同期的1.61:1降为1.60:1，城乡发展差距进一步缩小。</w:t>
      </w:r>
    </w:p>
    <w:sectPr>
      <w:pgSz w:w="11906" w:h="16838"/>
      <w:pgMar w:top="2098" w:right="1474" w:bottom="1984" w:left="1588" w:header="851" w:footer="992" w:gutter="0"/>
      <w:cols w:space="0" w:num="1"/>
      <w:rtlGutter w:val="0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MmNlMzczMDE4ZjJlYWYwMGE3NzI0YzI5NTAyOGMifQ=="/>
  </w:docVars>
  <w:rsids>
    <w:rsidRoot w:val="7E5A114C"/>
    <w:rsid w:val="002A5791"/>
    <w:rsid w:val="01944F30"/>
    <w:rsid w:val="01CE7351"/>
    <w:rsid w:val="033C405D"/>
    <w:rsid w:val="07312F40"/>
    <w:rsid w:val="0C010C19"/>
    <w:rsid w:val="0FC1070A"/>
    <w:rsid w:val="102B740D"/>
    <w:rsid w:val="143617E2"/>
    <w:rsid w:val="22714A24"/>
    <w:rsid w:val="22FE16B5"/>
    <w:rsid w:val="2AE9408B"/>
    <w:rsid w:val="2BE6575E"/>
    <w:rsid w:val="2E4162EF"/>
    <w:rsid w:val="2F7E54C4"/>
    <w:rsid w:val="32B77AC3"/>
    <w:rsid w:val="337149DF"/>
    <w:rsid w:val="3813028F"/>
    <w:rsid w:val="3BE806B0"/>
    <w:rsid w:val="3C0A45D1"/>
    <w:rsid w:val="3D5F5A18"/>
    <w:rsid w:val="40B56F63"/>
    <w:rsid w:val="40E32281"/>
    <w:rsid w:val="4A823C27"/>
    <w:rsid w:val="4C317754"/>
    <w:rsid w:val="4CD2410B"/>
    <w:rsid w:val="50FE4613"/>
    <w:rsid w:val="541A6706"/>
    <w:rsid w:val="57AD78E7"/>
    <w:rsid w:val="5E472732"/>
    <w:rsid w:val="5F770C2E"/>
    <w:rsid w:val="63EE4A5B"/>
    <w:rsid w:val="6A45548F"/>
    <w:rsid w:val="6DBB590E"/>
    <w:rsid w:val="72D761FB"/>
    <w:rsid w:val="75F8738A"/>
    <w:rsid w:val="7E5A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60" w:lineRule="exact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方正楷体_GBK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atLeast"/>
      <w:outlineLvl w:val="3"/>
    </w:pPr>
    <w:rPr>
      <w:rFonts w:ascii="Arial" w:hAnsi="Arial" w:eastAsia="方正仿宋_GBK"/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autoRedefine/>
    <w:unhideWhenUsed/>
    <w:qFormat/>
    <w:uiPriority w:val="0"/>
    <w:pPr>
      <w:ind w:firstLine="630" w:firstLineChars="200"/>
      <w:jc w:val="left"/>
    </w:pPr>
    <w:rPr>
      <w:rFonts w:ascii="Times New Roman" w:hAnsi="Times New Roman"/>
      <w:kern w:val="2"/>
      <w:sz w:val="30"/>
    </w:rPr>
  </w:style>
  <w:style w:type="paragraph" w:styleId="7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8">
    <w:name w:val="Title"/>
    <w:basedOn w:val="1"/>
    <w:next w:val="9"/>
    <w:autoRedefine/>
    <w:qFormat/>
    <w:uiPriority w:val="0"/>
    <w:pPr>
      <w:spacing w:line="580" w:lineRule="exact"/>
      <w:ind w:left="640" w:leftChars="200"/>
      <w:outlineLvl w:val="0"/>
    </w:pPr>
    <w:rPr>
      <w:rFonts w:ascii="Arial" w:hAnsi="Arial" w:eastAsia="方正仿宋_GBK"/>
    </w:rPr>
  </w:style>
  <w:style w:type="paragraph" w:customStyle="1" w:styleId="9">
    <w:name w:val="正文文本缩进1"/>
    <w:basedOn w:val="1"/>
    <w:autoRedefine/>
    <w:qFormat/>
    <w:uiPriority w:val="99"/>
    <w:pPr>
      <w:ind w:left="420" w:leftChars="200"/>
    </w:pPr>
  </w:style>
  <w:style w:type="paragraph" w:styleId="10">
    <w:name w:val="Body Text First Indent 2"/>
    <w:basedOn w:val="6"/>
    <w:autoRedefine/>
    <w:unhideWhenUsed/>
    <w:qFormat/>
    <w:uiPriority w:val="99"/>
    <w:pPr>
      <w:spacing w:after="120"/>
      <w:ind w:left="420" w:leftChars="200" w:firstLine="420"/>
      <w:jc w:val="both"/>
    </w:pPr>
    <w:rPr>
      <w:rFonts w:ascii="Calibri" w:hAnsi="Calibri"/>
      <w:kern w:val="0"/>
      <w:sz w:val="20"/>
      <w:lang w:val="en-US" w:eastAsia="zh-CN"/>
    </w:rPr>
  </w:style>
  <w:style w:type="character" w:customStyle="1" w:styleId="13">
    <w:name w:val="bjh-p"/>
    <w:basedOn w:val="12"/>
    <w:autoRedefine/>
    <w:qFormat/>
    <w:uiPriority w:val="0"/>
  </w:style>
  <w:style w:type="paragraph" w:styleId="14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1194</Words>
  <Characters>1526</Characters>
  <Lines>0</Lines>
  <Paragraphs>0</Paragraphs>
  <TotalTime>37</TotalTime>
  <ScaleCrop>false</ScaleCrop>
  <LinksUpToDate>false</LinksUpToDate>
  <CharactersWithSpaces>1526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2024-01-31T00:59:00Z</dcterms:created>
  <dc:creator>张阳</dc:creator>
  <cp:lastModifiedBy>张阳</cp:lastModifiedBy>
  <cp:lastPrinted>2025-02-14T01:17:00Z</cp:lastPrinted>
  <dcterms:modified xsi:type="dcterms:W3CDTF">2025-11-21T01:26:10Z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F76CAC43518A46F09FB4AAFB1CC6C369_13</vt:lpwstr>
  </property>
  <property fmtid="{D5CDD505-2E9C-101B-9397-08002B2CF9AE}" pid="4" name="KSOTemplateDocerSaveRecord">
    <vt:lpwstr>eyJoZGlkIjoiNDU2MmNlMzczMDE4ZjJlYWYwMGE3NzI0YzI5NTAyOGMiLCJ1c2VySWQiOiI0MzcwNzg2MzIifQ==</vt:lpwstr>
  </property>
</Properties>
</file>