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黑体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黑体" w:eastAsia="方正小标宋_GBK" w:cs="Times New Roman"/>
          <w:sz w:val="44"/>
          <w:szCs w:val="44"/>
          <w:highlight w:val="none"/>
          <w:lang w:val="en-US" w:eastAsia="zh-CN"/>
        </w:rPr>
        <w:t>2025年上半年全区经济运行情况分析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Style w:val="13"/>
          <w:rFonts w:hint="eastAsia" w:ascii="Times New Roman" w:hAnsi="Times New Roman"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eastAsia="zh-CN"/>
        </w:rPr>
        <w:t>2025年上半年，全区实现地区生产总值435.14亿元，同比增长7.1%。其中：第一产业增加值24.57亿元，增幅4.5%；第二产业增加值180.50亿元，增幅6.8%；第三产业增加值230.07亿元，增幅7.7%。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/>
          <w:b/>
          <w:bCs/>
          <w:sz w:val="32"/>
          <w:szCs w:val="32"/>
          <w:highlight w:val="none"/>
          <w:lang w:val="en-US" w:eastAsia="zh-CN"/>
        </w:rPr>
        <w:t>（一）农业生产总体稳定。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上半年，我区累计实现农林牧渔业总产值44.37亿元，实现</w:t>
      </w:r>
      <w:r>
        <w:rPr>
          <w:rStyle w:val="13"/>
          <w:rFonts w:hint="default" w:ascii="方正仿宋_GBK" w:hAnsi="方正仿宋_GBK" w:eastAsia="方正仿宋_GBK" w:cs="方正仿宋_GBK"/>
          <w:color w:val="000000"/>
          <w:sz w:val="32"/>
          <w:szCs w:val="32"/>
          <w:highlight w:val="none"/>
          <w:lang w:eastAsia="zh-CN"/>
        </w:rPr>
        <w:t>农林牧渔业增加值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25.29</w:t>
      </w:r>
      <w:r>
        <w:rPr>
          <w:rStyle w:val="13"/>
          <w:rFonts w:hint="default" w:ascii="方正仿宋_GBK" w:hAnsi="方正仿宋_GBK" w:eastAsia="方正仿宋_GBK" w:cs="方正仿宋_GBK"/>
          <w:color w:val="000000"/>
          <w:sz w:val="32"/>
          <w:szCs w:val="32"/>
          <w:highlight w:val="none"/>
          <w:lang w:eastAsia="zh-CN"/>
        </w:rPr>
        <w:t>亿元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eastAsia="zh-CN"/>
        </w:rPr>
        <w:t>、</w:t>
      </w:r>
      <w:bookmarkStart w:id="0" w:name="_GoBack"/>
      <w:bookmarkEnd w:id="0"/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可比增长4.6</w:t>
      </w:r>
      <w:r>
        <w:rPr>
          <w:rStyle w:val="13"/>
          <w:rFonts w:hint="default" w:ascii="方正仿宋_GBK" w:hAnsi="方正仿宋_GBK" w:eastAsia="方正仿宋_GBK" w:cs="方正仿宋_GBK"/>
          <w:color w:val="000000"/>
          <w:sz w:val="32"/>
          <w:szCs w:val="32"/>
          <w:highlight w:val="none"/>
          <w:lang w:eastAsia="zh-CN"/>
        </w:rPr>
        <w:t>%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。2025年夏粮总播种面积97.27万亩，较上年增加0.1万亩，增长0.1%；夏粮总产量38.14万吨，较上年减少0.37万吨，下降1.0%。上半年蔬菜及食用菌播种面积为7.99万亩，与去年同期相比增加0.1万亩，同比增长1.3%；总产量25.54万吨，与去年同期相比增加0.85万吨，同比增长3.4%。生猪累计出栏23.92万头，比上年减少1.46万头，下降5.8%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Style w:val="13"/>
          <w:rFonts w:hint="eastAsia" w:ascii="Times New Roman" w:hAnsi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/>
          <w:b/>
          <w:bCs/>
          <w:sz w:val="32"/>
          <w:szCs w:val="32"/>
          <w:highlight w:val="none"/>
          <w:lang w:val="en-US" w:eastAsia="zh-CN"/>
        </w:rPr>
        <w:t>（二）生产领域平稳增长。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上半年，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区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规模以上工业增加值同比增长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12.5%，高于全市平均水平3.6个百分点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实现营业收入198.72亿元，同比增长10.7%，较一季度上升0.5百分点；企业亏损面有所收窄，全区上半年共有85户企业亏损，亏损面达23.2%，较一季度收窄1个百分点。32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个行业大类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中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，其中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个行业产值实现正增长，增长面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达65.6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%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，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个行业快于全区平均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增幅。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实现工业开票销售收入</w:t>
      </w:r>
      <w:r>
        <w:rPr>
          <w:rStyle w:val="13"/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227.95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亿元，同比增长</w:t>
      </w:r>
      <w:r>
        <w:rPr>
          <w:rStyle w:val="13"/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.8%；实现工业用电量</w:t>
      </w:r>
      <w:r>
        <w:rPr>
          <w:rStyle w:val="13"/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9.50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亿千瓦时，同比增长5</w:t>
      </w:r>
      <w:r>
        <w:rPr>
          <w:rStyle w:val="13"/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.4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%</w:t>
      </w:r>
      <w:r>
        <w:rPr>
          <w:rStyle w:val="13"/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eastAsia" w:ascii="Times New Roman" w:hAnsi="Times New Roman" w:eastAsia="方正楷体_GBK"/>
          <w:b/>
          <w:bCs/>
          <w:sz w:val="32"/>
          <w:szCs w:val="32"/>
          <w:highlight w:val="none"/>
          <w:lang w:val="en-US" w:eastAsia="zh-CN"/>
        </w:rPr>
        <w:t>投资保持韧性增长。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上半年，全区完成规上固定资产投资147.33亿元，同比增长9.5%，增速与一季度持平；完成工业投资124.88亿元，增长16.0%，增速较一季度上升2.5个百分点；工业技改投资同比下降34.0%，较一季度降幅扩大了2.9个百分点，占工业投资比重为25.8%，较一季度下降了3.4个百分点；房地产开发投资4.21亿元，同比下降62.4%，商品房销售面积33.46万平方米，同比下降12.5%；民间投资124.03亿元，增长16.3%，占规上固定资产投资比重90.9%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Style w:val="13"/>
          <w:rFonts w:hint="eastAsia" w:ascii="方正仿宋_GBK" w:hAnsi="方正仿宋_GBK" w:cs="方正仿宋_GBK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楷体_GBK"/>
          <w:b/>
          <w:bCs/>
          <w:sz w:val="32"/>
          <w:szCs w:val="32"/>
          <w:highlight w:val="none"/>
          <w:lang w:val="en-US" w:eastAsia="zh-CN"/>
        </w:rPr>
        <w:t>（四）消费潜力稳步释放。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上半年，全区实现社会消费品零售总额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164.1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亿元，同比增长7.0%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Style w:val="13"/>
          <w:rFonts w:hint="eastAsia" w:ascii="Times New Roman" w:hAnsi="Times New Roman" w:eastAsia="方正仿宋_GBK"/>
          <w:color w:val="000000"/>
          <w:sz w:val="32"/>
          <w:szCs w:val="32"/>
          <w:highlight w:val="none"/>
          <w:lang w:val="en-US" w:eastAsia="zh-CN"/>
        </w:rPr>
        <w:t>分行业看，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批零住餐四个行业分别实现贸易额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254.52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141.06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3.96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37.20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亿元，分别同比增长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12.3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%、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9.3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%、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17.6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%和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11.1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%</w:t>
      </w:r>
      <w:r>
        <w:rPr>
          <w:rStyle w:val="13"/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。“以旧换新”促消费政策效应持续显现，上半年，家用视听设备、计算机软件及辅助设备、日用家电、电动自行车等行业分别同比增长107.6%、157.5%、58.4%、67.6%，合计拉动限上零售额1.2个百分点，其中家用视听设备、家电零售、电动自行车较上年分别提高62.7、31.1、24.8个百分点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firstLine="640" w:firstLineChars="200"/>
        <w:textAlignment w:val="auto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b/>
          <w:bCs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Times New Roman" w:hAnsi="Times New Roman" w:eastAsia="方正楷体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服务业发展态势良好。</w:t>
      </w:r>
      <w:r>
        <w:rPr>
          <w:rStyle w:val="13"/>
          <w:rFonts w:hint="eastAsia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1-5月全区规模以上服务业累计上报营业收入91.6亿元，同比增长43.5%。其中涉及GDP核算的十个行业累计上报营业收入59.8亿元，同比增长61.8%</w:t>
      </w:r>
      <w:r>
        <w:rPr>
          <w:rStyle w:val="13"/>
          <w:rFonts w:hint="eastAsia" w:ascii="Times New Roman" w:hAnsi="Times New Roman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十个核算行业增幅分别为</w:t>
      </w:r>
      <w:r>
        <w:rPr>
          <w:rStyle w:val="13"/>
          <w:rFonts w:hint="default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225.8</w:t>
      </w:r>
      <w:r>
        <w:rPr>
          <w:rStyle w:val="13"/>
          <w:rFonts w:hint="eastAsia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%、</w:t>
      </w:r>
      <w:r>
        <w:rPr>
          <w:rStyle w:val="13"/>
          <w:rFonts w:hint="default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59.3</w:t>
      </w:r>
      <w:r>
        <w:rPr>
          <w:rStyle w:val="13"/>
          <w:rFonts w:hint="eastAsia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%、</w:t>
      </w:r>
      <w:r>
        <w:rPr>
          <w:rStyle w:val="13"/>
          <w:rFonts w:hint="default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-40.5</w:t>
      </w:r>
      <w:r>
        <w:rPr>
          <w:rStyle w:val="13"/>
          <w:rFonts w:hint="eastAsia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%、</w:t>
      </w:r>
      <w:r>
        <w:rPr>
          <w:rStyle w:val="13"/>
          <w:rFonts w:hint="default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1.3</w:t>
      </w:r>
      <w:r>
        <w:rPr>
          <w:rStyle w:val="13"/>
          <w:rFonts w:hint="eastAsia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%、</w:t>
      </w:r>
      <w:r>
        <w:rPr>
          <w:rStyle w:val="13"/>
          <w:rFonts w:hint="default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149.6</w:t>
      </w:r>
      <w:r>
        <w:rPr>
          <w:rStyle w:val="13"/>
          <w:rFonts w:hint="eastAsia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%、</w:t>
      </w:r>
      <w:r>
        <w:rPr>
          <w:rStyle w:val="13"/>
          <w:rFonts w:hint="default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83.9</w:t>
      </w:r>
      <w:r>
        <w:rPr>
          <w:rStyle w:val="13"/>
          <w:rFonts w:hint="eastAsia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%、</w:t>
      </w:r>
      <w:r>
        <w:rPr>
          <w:rStyle w:val="13"/>
          <w:rFonts w:hint="default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14.6</w:t>
      </w:r>
      <w:r>
        <w:rPr>
          <w:rStyle w:val="13"/>
          <w:rFonts w:hint="eastAsia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%、</w:t>
      </w:r>
      <w:r>
        <w:rPr>
          <w:rStyle w:val="13"/>
          <w:rFonts w:hint="default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0.1</w:t>
      </w:r>
      <w:r>
        <w:rPr>
          <w:rStyle w:val="13"/>
          <w:rFonts w:hint="eastAsia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%、</w:t>
      </w:r>
      <w:r>
        <w:rPr>
          <w:rStyle w:val="13"/>
          <w:rFonts w:hint="default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1.2</w:t>
      </w:r>
      <w:r>
        <w:rPr>
          <w:rStyle w:val="13"/>
          <w:rFonts w:hint="eastAsia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%和</w:t>
      </w:r>
      <w:r>
        <w:rPr>
          <w:rStyle w:val="13"/>
          <w:rFonts w:hint="default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36.1</w:t>
      </w:r>
      <w:r>
        <w:rPr>
          <w:rStyle w:val="13"/>
          <w:rFonts w:hint="eastAsia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Style w:val="13"/>
          <w:rFonts w:hint="eastAsia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楷体_GBK"/>
          <w:b/>
          <w:bCs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楷体_GBK"/>
          <w:b/>
          <w:bCs/>
          <w:sz w:val="32"/>
          <w:szCs w:val="32"/>
          <w:highlight w:val="none"/>
          <w:lang w:val="en-US" w:eastAsia="zh-CN"/>
        </w:rPr>
        <w:t>六）</w:t>
      </w:r>
      <w:r>
        <w:rPr>
          <w:rFonts w:hint="eastAsia" w:ascii="Times New Roman" w:hAnsi="Times New Roman" w:eastAsia="方正楷体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居民收入平稳增长。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一季度，</w:t>
      </w:r>
      <w:r>
        <w:rPr>
          <w:rStyle w:val="13"/>
          <w:rFonts w:hint="eastAsia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全区实现居民人均可支配收入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19684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元，同比增长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5.9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%</w:t>
      </w:r>
      <w:r>
        <w:rPr>
          <w:rStyle w:val="13"/>
          <w:rFonts w:hint="eastAsia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。其中，城镇居民人均可支配收入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23972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元，同比增长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5.1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%</w:t>
      </w:r>
      <w:r>
        <w:rPr>
          <w:rStyle w:val="13"/>
          <w:rFonts w:hint="eastAsia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；农村居民人均可支配收入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5050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元，同比增长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6.3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%</w:t>
      </w:r>
      <w:r>
        <w:rPr>
          <w:rStyle w:val="13"/>
          <w:rFonts w:hint="eastAsia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。城乡居民收入差距进一步缩小，农村居民收入增速快于城镇居民</w:t>
      </w:r>
      <w:r>
        <w:rPr>
          <w:rStyle w:val="13"/>
          <w:rFonts w:hint="eastAsia" w:ascii="Times New Roman" w:hAnsi="Times New Roman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1.2</w:t>
      </w:r>
      <w:r>
        <w:rPr>
          <w:rStyle w:val="13"/>
          <w:rFonts w:hint="eastAsia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个百分点，城乡居民人均收入比值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1.59:1</w:t>
      </w:r>
      <w:r>
        <w:rPr>
          <w:rStyle w:val="13"/>
          <w:rFonts w:hint="eastAsia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，比上年同期缩小0.0</w:t>
      </w:r>
      <w:r>
        <w:rPr>
          <w:rStyle w:val="13"/>
          <w:rFonts w:hint="eastAsia" w:ascii="Times New Roman" w:hAnsi="Times New Roman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Style w:val="13"/>
          <w:rFonts w:hint="eastAsia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8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MmNlMzczMDE4ZjJlYWYwMGE3NzI0YzI5NTAyOGMifQ=="/>
  </w:docVars>
  <w:rsids>
    <w:rsidRoot w:val="7E5A114C"/>
    <w:rsid w:val="002A5791"/>
    <w:rsid w:val="01944F30"/>
    <w:rsid w:val="01CE7351"/>
    <w:rsid w:val="033C405D"/>
    <w:rsid w:val="07312F40"/>
    <w:rsid w:val="0C010C19"/>
    <w:rsid w:val="0FC1070A"/>
    <w:rsid w:val="102B740D"/>
    <w:rsid w:val="143617E2"/>
    <w:rsid w:val="22714A24"/>
    <w:rsid w:val="22FE16B5"/>
    <w:rsid w:val="2AE9408B"/>
    <w:rsid w:val="2BE6575E"/>
    <w:rsid w:val="2E4162EF"/>
    <w:rsid w:val="2F7E54C4"/>
    <w:rsid w:val="32B77AC3"/>
    <w:rsid w:val="337149DF"/>
    <w:rsid w:val="3813028F"/>
    <w:rsid w:val="3BE806B0"/>
    <w:rsid w:val="3C0A45D1"/>
    <w:rsid w:val="3D5F5A18"/>
    <w:rsid w:val="40E32281"/>
    <w:rsid w:val="4A823C27"/>
    <w:rsid w:val="4C317754"/>
    <w:rsid w:val="4CD2410B"/>
    <w:rsid w:val="50FE4613"/>
    <w:rsid w:val="52BC0D87"/>
    <w:rsid w:val="541A6706"/>
    <w:rsid w:val="57AD78E7"/>
    <w:rsid w:val="5E472732"/>
    <w:rsid w:val="5F770C2E"/>
    <w:rsid w:val="63EE4A5B"/>
    <w:rsid w:val="6A45548F"/>
    <w:rsid w:val="6DBB590E"/>
    <w:rsid w:val="722B3D5F"/>
    <w:rsid w:val="72D761FB"/>
    <w:rsid w:val="75F8738A"/>
    <w:rsid w:val="76695353"/>
    <w:rsid w:val="7E5A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方正楷体_GBK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atLeast"/>
      <w:outlineLvl w:val="3"/>
    </w:pPr>
    <w:rPr>
      <w:rFonts w:ascii="Arial" w:hAnsi="Arial" w:eastAsia="方正仿宋_GBK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unhideWhenUsed/>
    <w:qFormat/>
    <w:uiPriority w:val="0"/>
    <w:pPr>
      <w:ind w:firstLine="630" w:firstLineChars="200"/>
      <w:jc w:val="left"/>
    </w:pPr>
    <w:rPr>
      <w:rFonts w:ascii="Times New Roman" w:hAnsi="Times New Roman"/>
      <w:kern w:val="2"/>
      <w:sz w:val="30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Title"/>
    <w:basedOn w:val="1"/>
    <w:next w:val="9"/>
    <w:qFormat/>
    <w:uiPriority w:val="0"/>
    <w:pPr>
      <w:spacing w:line="580" w:lineRule="exact"/>
      <w:ind w:left="640" w:leftChars="200"/>
      <w:outlineLvl w:val="0"/>
    </w:pPr>
    <w:rPr>
      <w:rFonts w:ascii="Arial" w:hAnsi="Arial" w:eastAsia="方正仿宋_GBK"/>
    </w:rPr>
  </w:style>
  <w:style w:type="paragraph" w:customStyle="1" w:styleId="9">
    <w:name w:val="正文文本缩进1"/>
    <w:basedOn w:val="1"/>
    <w:qFormat/>
    <w:uiPriority w:val="99"/>
    <w:pPr>
      <w:ind w:left="420" w:leftChars="200"/>
    </w:pPr>
  </w:style>
  <w:style w:type="paragraph" w:styleId="10">
    <w:name w:val="Body Text First Indent 2"/>
    <w:basedOn w:val="6"/>
    <w:unhideWhenUsed/>
    <w:qFormat/>
    <w:uiPriority w:val="99"/>
    <w:pPr>
      <w:spacing w:after="120"/>
      <w:ind w:left="420" w:leftChars="200" w:firstLine="420"/>
      <w:jc w:val="both"/>
    </w:pPr>
    <w:rPr>
      <w:rFonts w:ascii="Calibri" w:hAnsi="Calibri"/>
      <w:kern w:val="0"/>
      <w:sz w:val="20"/>
      <w:lang w:val="en-US" w:eastAsia="zh-CN"/>
    </w:rPr>
  </w:style>
  <w:style w:type="character" w:customStyle="1" w:styleId="13">
    <w:name w:val="bjh-p"/>
    <w:basedOn w:val="12"/>
    <w:qFormat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1194</Words>
  <Characters>1526</Characters>
  <Lines>0</Lines>
  <Paragraphs>0</Paragraphs>
  <TotalTime>1</TotalTime>
  <ScaleCrop>false</ScaleCrop>
  <LinksUpToDate>false</LinksUpToDate>
  <CharactersWithSpaces>1526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2024-01-31T00:59:00Z</dcterms:created>
  <dc:creator>张阳</dc:creator>
  <cp:lastModifiedBy>Administrator</cp:lastModifiedBy>
  <cp:lastPrinted>2025-02-14T01:17:00Z</cp:lastPrinted>
  <dcterms:modified xsi:type="dcterms:W3CDTF">2026-03-06T02:05:28Z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90ABDC3348F34E33AB9817402982CEDC_13</vt:lpwstr>
  </property>
  <property fmtid="{D5CDD505-2E9C-101B-9397-08002B2CF9AE}" pid="4" name="KSOTemplateDocerSaveRecord">
    <vt:lpwstr>eyJoZGlkIjoiNDU2MmNlMzczMDE4ZjJlYWYwMGE3NzI0YzI5NTAyOGMiLCJ1c2VySWQiOiI0MzcwNzg2MzIifQ==</vt:lpwstr>
  </property>
</Properties>
</file>