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ind w:firstLine="0"/>
        <w:jc w:val="center"/>
        <w:rPr>
          <w:rFonts w:ascii="方正小标宋_GBK" w:hAnsi="微软雅黑" w:eastAsia="方正小标宋_GBK" w:cs="宋体"/>
          <w:bCs/>
          <w:color w:val="000000" w:themeColor="text1"/>
          <w:sz w:val="44"/>
          <w:szCs w:val="44"/>
          <w:highlight w:val="none"/>
        </w:rPr>
      </w:pPr>
      <w:r>
        <w:rPr>
          <w:rFonts w:hint="eastAsia" w:ascii="方正小标宋_GBK" w:hAnsi="微软雅黑" w:eastAsia="方正小标宋_GBK" w:cs="宋体"/>
          <w:bCs/>
          <w:color w:val="000000" w:themeColor="text1"/>
          <w:sz w:val="44"/>
          <w:szCs w:val="44"/>
          <w:highlight w:val="none"/>
          <w:lang w:val="en-US" w:eastAsia="zh-CN"/>
        </w:rPr>
        <w:t>淮安区</w:t>
      </w:r>
      <w:r>
        <w:rPr>
          <w:rFonts w:hint="eastAsia" w:ascii="方正小标宋_GBK" w:hAnsi="微软雅黑" w:eastAsia="方正小标宋_GBK" w:cs="宋体"/>
          <w:bCs/>
          <w:color w:val="000000" w:themeColor="text1"/>
          <w:sz w:val="44"/>
          <w:szCs w:val="44"/>
          <w:highlight w:val="none"/>
        </w:rPr>
        <w:t>加强殡葬服务收费管理</w:t>
      </w:r>
    </w:p>
    <w:p>
      <w:pPr>
        <w:widowControl/>
        <w:spacing w:line="640" w:lineRule="exact"/>
        <w:ind w:firstLine="0"/>
        <w:jc w:val="center"/>
        <w:rPr>
          <w:rFonts w:ascii="方正小标宋_GBK" w:hAnsi="微软雅黑" w:eastAsia="方正小标宋_GBK" w:cs="宋体"/>
          <w:bCs/>
          <w:color w:val="000000" w:themeColor="text1"/>
          <w:sz w:val="44"/>
          <w:szCs w:val="44"/>
          <w:highlight w:val="none"/>
        </w:rPr>
      </w:pPr>
      <w:r>
        <w:rPr>
          <w:rFonts w:hint="eastAsia" w:ascii="方正小标宋_GBK" w:hAnsi="微软雅黑" w:eastAsia="方正小标宋_GBK" w:cs="宋体"/>
          <w:bCs/>
          <w:color w:val="000000" w:themeColor="text1"/>
          <w:sz w:val="44"/>
          <w:szCs w:val="44"/>
          <w:highlight w:val="none"/>
        </w:rPr>
        <w:t>有关事项的通知</w:t>
      </w:r>
    </w:p>
    <w:p>
      <w:pPr>
        <w:widowControl/>
        <w:spacing w:line="259" w:lineRule="atLeast"/>
        <w:ind w:firstLine="0"/>
        <w:rPr>
          <w:rFonts w:ascii="楷体" w:hAnsi="楷体" w:eastAsia="楷体" w:cs="宋体"/>
          <w:color w:val="555555"/>
          <w:szCs w:val="32"/>
          <w:highlight w:val="none"/>
        </w:rPr>
      </w:pPr>
    </w:p>
    <w:p>
      <w:pPr>
        <w:widowControl/>
        <w:spacing w:line="259" w:lineRule="atLeast"/>
        <w:ind w:firstLine="0"/>
        <w:jc w:val="center"/>
        <w:rPr>
          <w:rFonts w:ascii="楷体" w:hAnsi="楷体" w:eastAsia="楷体" w:cs="宋体"/>
          <w:color w:val="555555"/>
          <w:szCs w:val="32"/>
          <w:highlight w:val="none"/>
        </w:rPr>
      </w:pPr>
      <w:r>
        <w:rPr>
          <w:rFonts w:hint="eastAsia" w:ascii="楷体" w:hAnsi="楷体" w:eastAsia="楷体" w:cs="宋体"/>
          <w:color w:val="555555"/>
          <w:szCs w:val="32"/>
          <w:highlight w:val="none"/>
        </w:rPr>
        <w:t>（</w:t>
      </w:r>
      <w:r>
        <w:rPr>
          <w:rFonts w:hint="eastAsia" w:ascii="楷体" w:hAnsi="楷体" w:eastAsia="楷体" w:cs="宋体"/>
          <w:color w:val="555555"/>
          <w:szCs w:val="32"/>
          <w:highlight w:val="none"/>
          <w:lang w:eastAsia="zh-CN"/>
        </w:rPr>
        <w:t>征求意见稿</w:t>
      </w:r>
      <w:r>
        <w:rPr>
          <w:rFonts w:hint="eastAsia" w:ascii="楷体" w:hAnsi="楷体" w:eastAsia="楷体" w:cs="宋体"/>
          <w:color w:val="555555"/>
          <w:szCs w:val="32"/>
          <w:highlight w:val="none"/>
        </w:rPr>
        <w:t>）</w:t>
      </w:r>
    </w:p>
    <w:p>
      <w:pPr>
        <w:widowControl/>
        <w:spacing w:line="259" w:lineRule="atLeast"/>
        <w:ind w:firstLine="0"/>
        <w:jc w:val="center"/>
        <w:rPr>
          <w:rFonts w:ascii="楷体" w:hAnsi="楷体" w:eastAsia="楷体" w:cs="宋体"/>
          <w:color w:val="555555"/>
          <w:szCs w:val="32"/>
          <w:highlight w:val="none"/>
        </w:rPr>
      </w:pPr>
    </w:p>
    <w:p>
      <w:pPr>
        <w:widowControl/>
        <w:spacing w:line="560" w:lineRule="exact"/>
        <w:ind w:firstLine="0"/>
        <w:jc w:val="left"/>
        <w:rPr>
          <w:rFonts w:ascii="仿宋_GB2312" w:hAnsi="微软雅黑" w:eastAsia="仿宋_GB2312" w:cs="宋体"/>
          <w:color w:val="000000" w:themeColor="text1"/>
          <w:szCs w:val="32"/>
          <w:highlight w:val="none"/>
        </w:rPr>
      </w:pPr>
      <w:r>
        <w:rPr>
          <w:rFonts w:hint="eastAsia" w:ascii="仿宋_GB2312" w:hAnsi="微软雅黑" w:eastAsia="仿宋_GB2312" w:cs="宋体"/>
          <w:color w:val="000000" w:themeColor="text1"/>
          <w:szCs w:val="32"/>
          <w:highlight w:val="none"/>
        </w:rPr>
        <w:t>各</w:t>
      </w:r>
      <w:r>
        <w:rPr>
          <w:rFonts w:hint="eastAsia" w:ascii="仿宋_GB2312" w:hAnsi="微软雅黑" w:eastAsia="仿宋_GB2312" w:cs="宋体"/>
          <w:color w:val="000000" w:themeColor="text1"/>
          <w:szCs w:val="32"/>
          <w:highlight w:val="none"/>
          <w:lang w:eastAsia="zh-CN"/>
        </w:rPr>
        <w:t>镇街</w:t>
      </w:r>
      <w:r>
        <w:rPr>
          <w:rFonts w:hint="eastAsia" w:ascii="仿宋_GB2312" w:hAnsi="微软雅黑" w:eastAsia="仿宋_GB2312" w:cs="宋体"/>
          <w:color w:val="000000" w:themeColor="text1"/>
          <w:szCs w:val="32"/>
          <w:highlight w:val="none"/>
        </w:rPr>
        <w:t>、</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民政局、市场监管局，</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殡葬服务单位：</w:t>
      </w:r>
    </w:p>
    <w:p>
      <w:pPr>
        <w:widowControl/>
        <w:spacing w:line="560" w:lineRule="exact"/>
        <w:ind w:firstLine="632" w:firstLineChars="200"/>
        <w:jc w:val="left"/>
        <w:rPr>
          <w:rFonts w:ascii="仿宋_GB2312" w:hAnsi="微软雅黑" w:eastAsia="仿宋_GB2312" w:cs="宋体"/>
          <w:color w:val="000000" w:themeColor="text1"/>
          <w:szCs w:val="32"/>
          <w:highlight w:val="none"/>
        </w:rPr>
      </w:pPr>
      <w:r>
        <w:rPr>
          <w:rFonts w:hint="eastAsia" w:ascii="仿宋_GB2312" w:hAnsi="微软雅黑" w:eastAsia="仿宋_GB2312" w:cs="宋体"/>
          <w:color w:val="000000" w:themeColor="text1"/>
          <w:szCs w:val="32"/>
          <w:highlight w:val="none"/>
        </w:rPr>
        <w:t>根据《省发改委 省民政厅 省市场监管局关于进一步加强殡葬服务收费管理有关事项的通知》（苏发改收费发〔2025〕69号）、《淮安市公墓管理实施办法》（淮政规〔2024〕7号）、</w:t>
      </w:r>
      <w:r>
        <w:rPr>
          <w:rFonts w:hint="eastAsia" w:ascii="仿宋_GB2312" w:hAnsi="微软雅黑" w:eastAsia="仿宋_GB2312" w:cs="宋体"/>
          <w:color w:val="000000" w:themeColor="text1"/>
          <w:szCs w:val="32"/>
          <w:highlight w:val="none"/>
          <w:lang w:eastAsia="zh-CN"/>
        </w:rPr>
        <w:t>《</w:t>
      </w:r>
      <w:r>
        <w:rPr>
          <w:rFonts w:hint="eastAsia" w:ascii="仿宋_GB2312" w:hAnsi="微软雅黑" w:eastAsia="仿宋_GB2312" w:cs="宋体"/>
          <w:color w:val="000000" w:themeColor="text1"/>
          <w:szCs w:val="32"/>
          <w:highlight w:val="none"/>
        </w:rPr>
        <w:t>关于公布淮安市殡葬基本服务项目、延伸服务项目和殡葬用品清单（试行）的通知</w:t>
      </w:r>
      <w:r>
        <w:rPr>
          <w:rFonts w:hint="eastAsia" w:ascii="仿宋_GB2312" w:hAnsi="微软雅黑" w:eastAsia="仿宋_GB2312" w:cs="宋体"/>
          <w:color w:val="000000" w:themeColor="text1"/>
          <w:szCs w:val="32"/>
          <w:highlight w:val="none"/>
          <w:lang w:eastAsia="zh-CN"/>
        </w:rPr>
        <w:t>》</w:t>
      </w:r>
      <w:r>
        <w:rPr>
          <w:rFonts w:hint="eastAsia" w:ascii="仿宋_GB2312" w:hAnsi="微软雅黑" w:eastAsia="仿宋_GB2312" w:cs="宋体"/>
          <w:color w:val="000000" w:themeColor="text1"/>
          <w:szCs w:val="32"/>
          <w:highlight w:val="none"/>
        </w:rPr>
        <w:t>（淮民事〔2025〕16号）</w:t>
      </w:r>
      <w:r>
        <w:rPr>
          <w:rFonts w:hint="eastAsia" w:ascii="仿宋_GB2312" w:hAnsi="微软雅黑" w:eastAsia="仿宋_GB2312" w:cs="宋体"/>
          <w:color w:val="000000" w:themeColor="text1"/>
          <w:szCs w:val="32"/>
          <w:highlight w:val="none"/>
          <w:lang w:eastAsia="zh-CN"/>
        </w:rPr>
        <w:t>和市《关于进一步规范殡葬服务收费管理有关事项的通知》</w:t>
      </w:r>
      <w:r>
        <w:rPr>
          <w:rFonts w:hint="eastAsia" w:ascii="仿宋_GB2312" w:hAnsi="微软雅黑" w:eastAsia="仿宋_GB2312" w:cs="宋体"/>
          <w:color w:val="000000" w:themeColor="text1"/>
          <w:szCs w:val="32"/>
          <w:highlight w:val="none"/>
        </w:rPr>
        <w:t>（淮</w:t>
      </w:r>
      <w:r>
        <w:rPr>
          <w:rFonts w:hint="eastAsia" w:ascii="仿宋_GB2312" w:hAnsi="微软雅黑" w:eastAsia="仿宋_GB2312" w:cs="宋体"/>
          <w:color w:val="000000" w:themeColor="text1"/>
          <w:szCs w:val="32"/>
          <w:highlight w:val="none"/>
          <w:lang w:eastAsia="zh-CN"/>
        </w:rPr>
        <w:t>发改办</w:t>
      </w:r>
      <w:r>
        <w:rPr>
          <w:rFonts w:hint="eastAsia" w:ascii="仿宋_GB2312" w:hAnsi="微软雅黑" w:eastAsia="仿宋_GB2312" w:cs="宋体"/>
          <w:color w:val="000000" w:themeColor="text1"/>
          <w:szCs w:val="32"/>
          <w:highlight w:val="none"/>
        </w:rPr>
        <w:t>〔2025〕1</w:t>
      </w:r>
      <w:r>
        <w:rPr>
          <w:rFonts w:hint="eastAsia" w:ascii="仿宋_GB2312" w:hAnsi="微软雅黑" w:eastAsia="仿宋_GB2312" w:cs="宋体"/>
          <w:color w:val="000000" w:themeColor="text1"/>
          <w:szCs w:val="32"/>
          <w:highlight w:val="none"/>
          <w:lang w:val="en-US" w:eastAsia="zh-CN"/>
        </w:rPr>
        <w:t>1</w:t>
      </w:r>
      <w:r>
        <w:rPr>
          <w:rFonts w:hint="eastAsia" w:ascii="仿宋_GB2312" w:hAnsi="微软雅黑" w:eastAsia="仿宋_GB2312" w:cs="宋体"/>
          <w:color w:val="000000" w:themeColor="text1"/>
          <w:szCs w:val="32"/>
          <w:highlight w:val="none"/>
        </w:rPr>
        <w:t>6号）要求，全面推行“殡葬收费清单制、公墓墓葬一价清、所有收费全公开、清单之外无收费”管理机制，</w:t>
      </w:r>
      <w:r>
        <w:rPr>
          <w:rFonts w:hint="eastAsia" w:ascii="仿宋_GB2312" w:hAnsi="微软雅黑" w:eastAsia="仿宋_GB2312" w:cs="宋体"/>
          <w:color w:val="000000" w:themeColor="text1"/>
          <w:szCs w:val="32"/>
          <w:highlight w:val="none"/>
          <w:lang w:eastAsia="zh-CN"/>
        </w:rPr>
        <w:t>切实</w:t>
      </w:r>
      <w:r>
        <w:rPr>
          <w:rFonts w:hint="eastAsia" w:ascii="仿宋_GB2312" w:hAnsi="微软雅黑" w:eastAsia="仿宋_GB2312" w:cs="宋体"/>
          <w:color w:val="000000" w:themeColor="text1"/>
          <w:szCs w:val="32"/>
          <w:highlight w:val="none"/>
        </w:rPr>
        <w:t>加强殡葬服务收费管理，规范</w:t>
      </w:r>
      <w:r>
        <w:rPr>
          <w:rFonts w:hint="eastAsia" w:ascii="仿宋_GB2312" w:hAnsi="微软雅黑" w:eastAsia="仿宋_GB2312" w:cs="宋体"/>
          <w:color w:val="000000" w:themeColor="text1"/>
          <w:szCs w:val="32"/>
          <w:highlight w:val="none"/>
          <w:lang w:eastAsia="zh-CN"/>
        </w:rPr>
        <w:t>全区</w:t>
      </w:r>
      <w:r>
        <w:rPr>
          <w:rFonts w:hint="eastAsia" w:ascii="仿宋_GB2312" w:hAnsi="微软雅黑" w:eastAsia="仿宋_GB2312" w:cs="宋体"/>
          <w:color w:val="000000" w:themeColor="text1"/>
          <w:szCs w:val="32"/>
          <w:highlight w:val="none"/>
        </w:rPr>
        <w:t>殡葬服务收费行为，保障群众基本殡葬服务需求，促进殡葬改革和殡葬事业健康发展，</w:t>
      </w:r>
      <w:r>
        <w:rPr>
          <w:rFonts w:hint="eastAsia" w:ascii="仿宋_GB2312" w:hAnsi="微软雅黑" w:eastAsia="仿宋_GB2312" w:cs="宋体"/>
          <w:color w:val="000000" w:themeColor="text1"/>
          <w:szCs w:val="32"/>
          <w:highlight w:val="none"/>
          <w:lang w:eastAsia="zh-CN"/>
        </w:rPr>
        <w:t>现</w:t>
      </w:r>
      <w:r>
        <w:rPr>
          <w:rFonts w:hint="eastAsia" w:ascii="仿宋_GB2312" w:hAnsi="微软雅黑" w:eastAsia="仿宋_GB2312" w:cs="宋体"/>
          <w:color w:val="000000" w:themeColor="text1"/>
          <w:szCs w:val="32"/>
          <w:highlight w:val="none"/>
        </w:rPr>
        <w:t>结合我</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实际，</w:t>
      </w:r>
      <w:r>
        <w:rPr>
          <w:rFonts w:hint="eastAsia" w:ascii="仿宋_GB2312" w:hAnsi="微软雅黑" w:eastAsia="仿宋_GB2312" w:cs="宋体"/>
          <w:color w:val="000000" w:themeColor="text1"/>
          <w:szCs w:val="32"/>
          <w:highlight w:val="none"/>
          <w:lang w:eastAsia="zh-CN"/>
        </w:rPr>
        <w:t>将</w:t>
      </w:r>
      <w:r>
        <w:rPr>
          <w:rFonts w:hint="eastAsia" w:ascii="仿宋_GB2312" w:hAnsi="微软雅黑" w:eastAsia="仿宋_GB2312" w:cs="宋体"/>
          <w:color w:val="000000" w:themeColor="text1"/>
          <w:szCs w:val="32"/>
          <w:highlight w:val="none"/>
        </w:rPr>
        <w:t>殡葬服务收费管理有关事项通知如下：</w:t>
      </w:r>
    </w:p>
    <w:p>
      <w:pPr>
        <w:widowControl/>
        <w:spacing w:line="560" w:lineRule="exact"/>
        <w:ind w:firstLine="632" w:firstLineChars="200"/>
        <w:jc w:val="left"/>
        <w:rPr>
          <w:rFonts w:hint="eastAsia" w:ascii="仿宋_GB2312" w:hAnsi="微软雅黑" w:eastAsia="仿宋_GB2312" w:cs="宋体"/>
          <w:color w:val="000000" w:themeColor="text1"/>
          <w:szCs w:val="32"/>
          <w:highlight w:val="none"/>
          <w:lang w:eastAsia="zh-CN"/>
        </w:rPr>
      </w:pPr>
      <w:r>
        <w:rPr>
          <w:rFonts w:hint="eastAsia" w:ascii="仿宋_GB2312" w:hAnsi="微软雅黑" w:eastAsia="仿宋_GB2312" w:cs="宋体"/>
          <w:color w:val="000000" w:themeColor="text1"/>
          <w:szCs w:val="32"/>
          <w:highlight w:val="none"/>
        </w:rPr>
        <w:t>一、</w:t>
      </w:r>
      <w:r>
        <w:rPr>
          <w:rFonts w:hint="eastAsia" w:ascii="仿宋_GB2312" w:hAnsi="微软雅黑" w:eastAsia="仿宋_GB2312" w:cs="宋体"/>
          <w:color w:val="000000" w:themeColor="text1"/>
          <w:szCs w:val="32"/>
          <w:highlight w:val="none"/>
          <w:lang w:eastAsia="zh-CN"/>
        </w:rPr>
        <w:t>建立区</w:t>
      </w:r>
      <w:r>
        <w:rPr>
          <w:rFonts w:hint="eastAsia" w:ascii="仿宋_GB2312" w:hAnsi="微软雅黑" w:eastAsia="仿宋_GB2312" w:cs="宋体"/>
          <w:color w:val="000000" w:themeColor="text1"/>
          <w:szCs w:val="32"/>
          <w:highlight w:val="none"/>
        </w:rPr>
        <w:t>殡葬服务收费项目</w:t>
      </w:r>
      <w:r>
        <w:rPr>
          <w:rFonts w:hint="eastAsia" w:ascii="仿宋_GB2312" w:hAnsi="微软雅黑" w:eastAsia="仿宋_GB2312" w:cs="宋体"/>
          <w:color w:val="000000" w:themeColor="text1"/>
          <w:szCs w:val="32"/>
          <w:highlight w:val="none"/>
          <w:lang w:eastAsia="zh-CN"/>
        </w:rPr>
        <w:t>清单</w:t>
      </w:r>
    </w:p>
    <w:p>
      <w:pPr>
        <w:widowControl/>
        <w:spacing w:line="560" w:lineRule="exact"/>
        <w:ind w:firstLine="632" w:firstLineChars="200"/>
        <w:jc w:val="left"/>
        <w:rPr>
          <w:rFonts w:hint="eastAsia" w:ascii="仿宋_GB2312" w:hAnsi="微软雅黑" w:eastAsia="仿宋_GB2312" w:cs="宋体"/>
          <w:color w:val="000000" w:themeColor="text1"/>
          <w:szCs w:val="32"/>
          <w:highlight w:val="none"/>
        </w:rPr>
      </w:pPr>
      <w:r>
        <w:rPr>
          <w:rFonts w:hint="eastAsia" w:ascii="仿宋_GB2312" w:hAnsi="微软雅黑" w:eastAsia="仿宋_GB2312" w:cs="宋体"/>
          <w:color w:val="000000" w:themeColor="text1"/>
          <w:szCs w:val="32"/>
          <w:highlight w:val="none"/>
          <w:lang w:eastAsia="zh-CN"/>
        </w:rPr>
        <w:t>全区</w:t>
      </w:r>
      <w:r>
        <w:rPr>
          <w:rFonts w:hint="eastAsia" w:ascii="仿宋_GB2312" w:hAnsi="微软雅黑" w:eastAsia="仿宋_GB2312" w:cs="宋体"/>
          <w:color w:val="000000" w:themeColor="text1"/>
          <w:szCs w:val="32"/>
          <w:highlight w:val="none"/>
        </w:rPr>
        <w:t>殡葬服务收费分为殡葬基本服务项目清单和延伸服务项目清单。殡葬基本服务项目清单和延伸服务项目清单由</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民政部门会同</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发展改革部门制定，</w:t>
      </w:r>
      <w:r>
        <w:rPr>
          <w:rFonts w:hint="eastAsia" w:ascii="仿宋_GB2312" w:hAnsi="微软雅黑" w:eastAsia="仿宋_GB2312" w:cs="宋体"/>
          <w:color w:val="000000" w:themeColor="text1"/>
          <w:szCs w:val="32"/>
          <w:highlight w:val="none"/>
          <w:lang w:eastAsia="zh-CN"/>
        </w:rPr>
        <w:t>殡葬服务单位</w:t>
      </w:r>
      <w:r>
        <w:rPr>
          <w:rFonts w:hint="eastAsia" w:ascii="仿宋_GB2312" w:hAnsi="微软雅黑" w:eastAsia="仿宋_GB2312" w:cs="宋体"/>
          <w:color w:val="000000" w:themeColor="text1"/>
          <w:szCs w:val="32"/>
          <w:highlight w:val="none"/>
        </w:rPr>
        <w:t>不得另行增设服务项目，实行动态更新，及时向社会公开发布。</w:t>
      </w:r>
    </w:p>
    <w:p>
      <w:pPr>
        <w:widowControl/>
        <w:spacing w:line="560" w:lineRule="exact"/>
        <w:ind w:firstLine="632" w:firstLineChars="200"/>
        <w:jc w:val="left"/>
        <w:rPr>
          <w:rFonts w:ascii="仿宋_GB2312" w:hAnsi="微软雅黑" w:eastAsia="仿宋_GB2312" w:cs="宋体"/>
          <w:color w:val="000000" w:themeColor="text1"/>
          <w:szCs w:val="32"/>
          <w:highlight w:val="none"/>
        </w:rPr>
      </w:pPr>
      <w:bookmarkStart w:id="0" w:name="OLE_LINK3"/>
      <w:bookmarkStart w:id="1" w:name="OLE_LINK4"/>
      <w:r>
        <w:rPr>
          <w:rFonts w:hint="eastAsia" w:ascii="楷体" w:hAnsi="楷体" w:eastAsia="楷体" w:cs="宋体"/>
          <w:color w:val="000000" w:themeColor="text1"/>
          <w:szCs w:val="32"/>
          <w:highlight w:val="none"/>
        </w:rPr>
        <w:t>（一）殡葬基本服务项目。</w:t>
      </w:r>
      <w:r>
        <w:rPr>
          <w:rFonts w:hint="eastAsia" w:ascii="仿宋_GB2312" w:hAnsi="微软雅黑" w:eastAsia="仿宋_GB2312" w:cs="宋体"/>
          <w:color w:val="000000" w:themeColor="text1"/>
          <w:szCs w:val="32"/>
          <w:highlight w:val="none"/>
        </w:rPr>
        <w:t>殡葬基本服务是指殡葬服务</w:t>
      </w:r>
      <w:r>
        <w:rPr>
          <w:rFonts w:hint="eastAsia" w:ascii="仿宋_GB2312" w:hAnsi="微软雅黑" w:eastAsia="仿宋_GB2312" w:cs="宋体"/>
          <w:color w:val="000000" w:themeColor="text1"/>
          <w:szCs w:val="32"/>
          <w:highlight w:val="none"/>
          <w:lang w:eastAsia="zh-CN"/>
        </w:rPr>
        <w:t>单位</w:t>
      </w:r>
      <w:r>
        <w:rPr>
          <w:rFonts w:hint="eastAsia" w:ascii="仿宋_GB2312" w:hAnsi="微软雅黑" w:eastAsia="仿宋_GB2312" w:cs="宋体"/>
          <w:color w:val="000000" w:themeColor="text1"/>
          <w:szCs w:val="32"/>
          <w:highlight w:val="none"/>
        </w:rPr>
        <w:t>为群众提供的基本服务需求，项目包括：遗体接运、遗体存放、穿（脱）衣、遗</w:t>
      </w:r>
      <w:r>
        <w:rPr>
          <w:rFonts w:hint="eastAsia" w:ascii="仿宋_GB2312" w:hAnsi="微软雅黑" w:eastAsia="仿宋_GB2312" w:cs="宋体"/>
          <w:color w:val="000000" w:themeColor="text1"/>
          <w:szCs w:val="32"/>
          <w:highlight w:val="none"/>
          <w:lang w:eastAsia="zh-CN"/>
        </w:rPr>
        <w:t>容</w:t>
      </w:r>
      <w:r>
        <w:rPr>
          <w:rFonts w:hint="eastAsia" w:ascii="仿宋_GB2312" w:hAnsi="微软雅黑" w:eastAsia="仿宋_GB2312" w:cs="宋体"/>
          <w:color w:val="000000" w:themeColor="text1"/>
          <w:szCs w:val="32"/>
          <w:highlight w:val="none"/>
        </w:rPr>
        <w:t>整理、告别厅（守灵厅）租用、遗体火化、骨灰寄存、公益性公墓墓（格）葬、节地生态安葬、公墓维护管理共10项。殡葬基本服务收费实行政府指导价管理，收费标准由</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发展改革部门会同</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民政部门</w:t>
      </w:r>
      <w:r>
        <w:rPr>
          <w:rFonts w:hAnsi="宋体" w:eastAsia="仿宋_GB2312" w:cs="宋体"/>
          <w:color w:val="000000" w:themeColor="text1"/>
          <w:szCs w:val="32"/>
          <w:highlight w:val="none"/>
        </w:rPr>
        <w:t>在成本监审（</w:t>
      </w:r>
      <w:r>
        <w:rPr>
          <w:rFonts w:hint="eastAsia" w:hAnsi="宋体" w:eastAsia="仿宋_GB2312" w:cs="宋体"/>
          <w:color w:val="000000" w:themeColor="text1"/>
          <w:szCs w:val="32"/>
          <w:highlight w:val="none"/>
        </w:rPr>
        <w:t>或</w:t>
      </w:r>
      <w:r>
        <w:rPr>
          <w:rFonts w:hAnsi="宋体" w:eastAsia="仿宋_GB2312" w:cs="宋体"/>
          <w:color w:val="000000" w:themeColor="text1"/>
          <w:szCs w:val="32"/>
          <w:highlight w:val="none"/>
        </w:rPr>
        <w:t>调查）基础上，按照非营利原则，根据财政补贴情况</w:t>
      </w:r>
      <w:r>
        <w:rPr>
          <w:rFonts w:hint="eastAsia" w:hAnsi="宋体" w:eastAsia="仿宋_GB2312" w:cs="宋体"/>
          <w:color w:val="000000" w:themeColor="text1"/>
          <w:szCs w:val="32"/>
          <w:highlight w:val="none"/>
        </w:rPr>
        <w:t>制定公布</w:t>
      </w:r>
      <w:r>
        <w:rPr>
          <w:rFonts w:hint="eastAsia" w:ascii="仿宋_GB2312" w:hAnsi="微软雅黑" w:eastAsia="仿宋_GB2312" w:cs="宋体"/>
          <w:color w:val="000000" w:themeColor="text1"/>
          <w:szCs w:val="32"/>
          <w:highlight w:val="none"/>
        </w:rPr>
        <w:t>。</w:t>
      </w:r>
      <w:r>
        <w:rPr>
          <w:rFonts w:hint="eastAsia" w:ascii="仿宋_GB2312" w:hAnsi="微软雅黑" w:eastAsia="仿宋_GB2312" w:cs="宋体"/>
          <w:color w:val="000000" w:themeColor="text1"/>
          <w:szCs w:val="32"/>
          <w:highlight w:val="none"/>
          <w:lang w:eastAsia="zh-CN"/>
        </w:rPr>
        <w:t>区现</w:t>
      </w:r>
      <w:r>
        <w:rPr>
          <w:rFonts w:hint="eastAsia" w:ascii="仿宋_GB2312" w:hAnsi="微软雅黑" w:eastAsia="仿宋_GB2312" w:cs="宋体"/>
          <w:color w:val="000000" w:themeColor="text1"/>
          <w:szCs w:val="32"/>
          <w:highlight w:val="none"/>
        </w:rPr>
        <w:t>行收费标准（详见附件1）</w:t>
      </w:r>
      <w:r>
        <w:rPr>
          <w:rFonts w:hint="eastAsia" w:ascii="仿宋_GB2312" w:hAnsi="微软雅黑" w:eastAsia="仿宋_GB2312" w:cs="宋体"/>
          <w:color w:val="000000" w:themeColor="text1"/>
          <w:szCs w:val="32"/>
          <w:highlight w:val="none"/>
          <w:lang w:eastAsia="zh-CN"/>
        </w:rPr>
        <w:t>。后期</w:t>
      </w:r>
      <w:r>
        <w:rPr>
          <w:rFonts w:hint="eastAsia" w:ascii="仿宋_GB2312" w:hAnsi="微软雅黑" w:eastAsia="仿宋_GB2312" w:cs="宋体"/>
          <w:color w:val="000000" w:themeColor="text1"/>
          <w:szCs w:val="32"/>
          <w:highlight w:val="none"/>
        </w:rPr>
        <w:t>新改扩建导致成本变化确需调整的，严格依法依规制定。殡仪馆内转接服务属于其标准化作业内容，不得另行收取费用。</w:t>
      </w:r>
    </w:p>
    <w:bookmarkEnd w:id="0"/>
    <w:bookmarkEnd w:id="1"/>
    <w:p>
      <w:pPr>
        <w:widowControl/>
        <w:spacing w:line="560" w:lineRule="exact"/>
        <w:ind w:firstLine="632" w:firstLineChars="200"/>
        <w:jc w:val="left"/>
        <w:rPr>
          <w:rFonts w:ascii="仿宋_GB2312" w:hAnsi="微软雅黑" w:eastAsia="仿宋_GB2312" w:cs="宋体"/>
          <w:color w:val="000000" w:themeColor="text1"/>
          <w:szCs w:val="32"/>
          <w:highlight w:val="none"/>
        </w:rPr>
      </w:pPr>
      <w:r>
        <w:rPr>
          <w:rFonts w:hint="eastAsia" w:ascii="楷体" w:hAnsi="楷体" w:eastAsia="楷体" w:cs="宋体"/>
          <w:color w:val="000000" w:themeColor="text1"/>
          <w:szCs w:val="32"/>
          <w:highlight w:val="none"/>
        </w:rPr>
        <w:t>（二）殡葬延伸服务项目。</w:t>
      </w:r>
      <w:r>
        <w:rPr>
          <w:rFonts w:hint="eastAsia" w:ascii="仿宋_GB2312" w:hAnsi="微软雅黑" w:eastAsia="仿宋_GB2312" w:cs="宋体"/>
          <w:color w:val="000000" w:themeColor="text1"/>
          <w:szCs w:val="32"/>
          <w:highlight w:val="none"/>
        </w:rPr>
        <w:t>殡葬延伸服务是指殡葬服务机构在基本服务以外，供群众自愿选择的服务需求，项目包括：遗体外运、特殊遗体整理、经营性公墓墓（格）葬共3项。殡葬延伸服务收费实行市场调节价管理，由殡葬服务</w:t>
      </w:r>
      <w:r>
        <w:rPr>
          <w:rFonts w:hint="eastAsia" w:ascii="仿宋_GB2312" w:hAnsi="微软雅黑" w:eastAsia="仿宋_GB2312" w:cs="宋体"/>
          <w:color w:val="000000" w:themeColor="text1"/>
          <w:szCs w:val="32"/>
          <w:highlight w:val="none"/>
          <w:lang w:eastAsia="zh-CN"/>
        </w:rPr>
        <w:t>单位</w:t>
      </w:r>
      <w:r>
        <w:rPr>
          <w:rFonts w:hint="eastAsia" w:ascii="仿宋_GB2312" w:hAnsi="微软雅黑" w:eastAsia="仿宋_GB2312" w:cs="宋体"/>
          <w:color w:val="000000" w:themeColor="text1"/>
          <w:szCs w:val="32"/>
          <w:highlight w:val="none"/>
        </w:rPr>
        <w:t>根据成本、社会承受能力、市场需求状况合理确定具体收费标准，</w:t>
      </w:r>
      <w:r>
        <w:rPr>
          <w:rFonts w:hint="eastAsia" w:ascii="仿宋_GB2312" w:hAnsi="微软雅黑" w:eastAsia="仿宋_GB2312" w:cs="宋体"/>
          <w:color w:val="000000" w:themeColor="text1"/>
          <w:szCs w:val="32"/>
          <w:highlight w:val="none"/>
          <w:lang w:eastAsia="zh-CN"/>
        </w:rPr>
        <w:t>报</w:t>
      </w:r>
      <w:r>
        <w:rPr>
          <w:rFonts w:hint="eastAsia" w:ascii="仿宋_GB2312" w:hAnsi="微软雅黑" w:eastAsia="仿宋_GB2312" w:cs="宋体"/>
          <w:color w:val="000000" w:themeColor="text1"/>
          <w:szCs w:val="32"/>
          <w:highlight w:val="none"/>
        </w:rPr>
        <w:t>经</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民政部门审核公示后，</w:t>
      </w:r>
      <w:r>
        <w:rPr>
          <w:rFonts w:hint="eastAsia" w:ascii="仿宋_GB2312" w:hAnsi="微软雅黑" w:eastAsia="仿宋_GB2312" w:cs="宋体"/>
          <w:color w:val="000000" w:themeColor="text1"/>
          <w:szCs w:val="32"/>
          <w:highlight w:val="none"/>
          <w:lang w:eastAsia="zh-CN"/>
        </w:rPr>
        <w:t>并</w:t>
      </w:r>
      <w:r>
        <w:rPr>
          <w:rFonts w:hint="eastAsia" w:ascii="仿宋_GB2312" w:hAnsi="微软雅黑" w:eastAsia="仿宋_GB2312" w:cs="宋体"/>
          <w:color w:val="000000" w:themeColor="text1"/>
          <w:szCs w:val="32"/>
          <w:highlight w:val="none"/>
        </w:rPr>
        <w:t>抄报</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发展改革部门。</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级殡葬延伸服务项目清单详见附件2。</w:t>
      </w:r>
    </w:p>
    <w:p>
      <w:pPr>
        <w:widowControl/>
        <w:spacing w:line="560" w:lineRule="exact"/>
        <w:ind w:firstLine="632" w:firstLineChars="200"/>
        <w:jc w:val="left"/>
        <w:rPr>
          <w:rFonts w:ascii="楷体" w:hAnsi="楷体" w:eastAsia="楷体" w:cs="宋体"/>
          <w:color w:val="000000" w:themeColor="text1"/>
          <w:szCs w:val="32"/>
          <w:highlight w:val="none"/>
        </w:rPr>
      </w:pPr>
      <w:r>
        <w:rPr>
          <w:rFonts w:hint="eastAsia" w:ascii="楷体" w:hAnsi="楷体" w:eastAsia="楷体" w:cs="宋体"/>
          <w:color w:val="000000" w:themeColor="text1"/>
          <w:szCs w:val="32"/>
          <w:highlight w:val="none"/>
          <w:lang w:eastAsia="zh-CN"/>
        </w:rPr>
        <w:t>（三）</w:t>
      </w:r>
      <w:r>
        <w:rPr>
          <w:rFonts w:hint="eastAsia" w:ascii="楷体" w:hAnsi="楷体" w:eastAsia="楷体" w:cs="宋体"/>
          <w:color w:val="000000" w:themeColor="text1"/>
          <w:szCs w:val="32"/>
          <w:highlight w:val="none"/>
        </w:rPr>
        <w:t>统一清单公布内容。</w:t>
      </w:r>
      <w:r>
        <w:rPr>
          <w:rFonts w:hint="eastAsia" w:ascii="仿宋_GB2312" w:hAnsi="微软雅黑" w:eastAsia="仿宋_GB2312" w:cs="宋体"/>
          <w:color w:val="000000" w:themeColor="text1"/>
          <w:szCs w:val="32"/>
          <w:highlight w:val="none"/>
        </w:rPr>
        <w:t>服务项目严格实行清单管理，主要包括服务项目名称、服务内容、计费单位、价格管理形式、收费标准、收费依据、优惠减免政策、惠民殡葬措施等。</w:t>
      </w:r>
    </w:p>
    <w:p>
      <w:pPr>
        <w:widowControl/>
        <w:spacing w:line="560" w:lineRule="exact"/>
        <w:ind w:firstLine="632" w:firstLineChars="200"/>
        <w:jc w:val="left"/>
        <w:rPr>
          <w:rFonts w:ascii="仿宋_GB2312" w:hAnsi="微软雅黑" w:eastAsia="仿宋_GB2312" w:cs="宋体"/>
          <w:color w:val="FF0000"/>
          <w:szCs w:val="32"/>
          <w:highlight w:val="none"/>
          <w:u w:val="single"/>
        </w:rPr>
      </w:pPr>
      <w:r>
        <w:rPr>
          <w:rFonts w:hint="eastAsia" w:ascii="仿宋_GB2312" w:hAnsi="微软雅黑" w:eastAsia="仿宋_GB2312" w:cs="宋体"/>
          <w:color w:val="000000" w:themeColor="text1"/>
          <w:szCs w:val="32"/>
          <w:highlight w:val="none"/>
        </w:rPr>
        <w:t>个性化安葬需求、殡仪服务、代客祭扫、网络祭扫等特殊情况，按照双方合同约定执行。</w:t>
      </w:r>
    </w:p>
    <w:p>
      <w:pPr>
        <w:widowControl/>
        <w:spacing w:line="560" w:lineRule="exact"/>
        <w:ind w:firstLine="632" w:firstLineChars="200"/>
        <w:jc w:val="left"/>
        <w:rPr>
          <w:rFonts w:ascii="黑体" w:hAnsi="黑体" w:eastAsia="黑体" w:cs="宋体"/>
          <w:color w:val="000000" w:themeColor="text1"/>
          <w:szCs w:val="32"/>
          <w:highlight w:val="none"/>
        </w:rPr>
      </w:pPr>
      <w:r>
        <w:rPr>
          <w:rFonts w:hint="eastAsia" w:ascii="黑体" w:hAnsi="黑体" w:eastAsia="黑体" w:cs="宋体"/>
          <w:color w:val="000000" w:themeColor="text1"/>
          <w:szCs w:val="32"/>
          <w:highlight w:val="none"/>
        </w:rPr>
        <w:t>二、实行公墓收费分类定价管理</w:t>
      </w:r>
    </w:p>
    <w:p>
      <w:pPr>
        <w:widowControl/>
        <w:spacing w:line="560" w:lineRule="exact"/>
        <w:ind w:firstLine="632" w:firstLineChars="200"/>
        <w:jc w:val="left"/>
        <w:rPr>
          <w:rFonts w:ascii="仿宋_GB2312" w:hAnsi="微软雅黑" w:eastAsia="仿宋_GB2312" w:cs="宋体"/>
          <w:color w:val="FF0000"/>
          <w:szCs w:val="32"/>
          <w:highlight w:val="none"/>
        </w:rPr>
      </w:pPr>
      <w:r>
        <w:rPr>
          <w:rFonts w:hint="eastAsia" w:ascii="仿宋_GB2312" w:hAnsi="微软雅黑" w:eastAsia="仿宋_GB2312" w:cs="宋体"/>
          <w:color w:val="000000" w:themeColor="text1"/>
          <w:szCs w:val="32"/>
          <w:highlight w:val="none"/>
        </w:rPr>
        <w:t>公墓收费实行分类定价管理，包括公益性公墓墓（格）葬费、经营性公墓墓（格）葬费、公墓维护管理费。公墓墓（格）葬费是指墓穴等墓葬设施（含立体式骨灰安葬）墓地（格）费用、落葬服务费用（含再次合葬的落葬费用）、墓碑墓体费用以及相关材料等费用，实行“一价清”，不得价外收取与公墓墓（格）葬相关的其他费用。</w:t>
      </w:r>
      <w:r>
        <w:rPr>
          <w:rFonts w:ascii="仿宋_GB2312" w:hAnsi="微软雅黑" w:eastAsia="仿宋_GB2312" w:cs="宋体"/>
          <w:color w:val="000000" w:themeColor="text1"/>
          <w:szCs w:val="32"/>
          <w:highlight w:val="none"/>
        </w:rPr>
        <w:t>提倡和鼓励节地生态安葬、骨灰立体安葬、骨灰撒散（江葬、海葬）、不保留骨灰、林草地复合葬法</w:t>
      </w:r>
      <w:r>
        <w:rPr>
          <w:rFonts w:hint="eastAsia" w:ascii="仿宋_GB2312" w:hAnsi="微软雅黑" w:eastAsia="仿宋_GB2312" w:cs="宋体"/>
          <w:color w:val="000000" w:themeColor="text1"/>
          <w:szCs w:val="32"/>
          <w:highlight w:val="none"/>
        </w:rPr>
        <w:t>。禁止将公益性公墓变更为经营性公墓。</w:t>
      </w:r>
    </w:p>
    <w:p>
      <w:pPr>
        <w:widowControl/>
        <w:spacing w:line="560" w:lineRule="exact"/>
        <w:ind w:firstLine="632" w:firstLineChars="200"/>
        <w:jc w:val="left"/>
        <w:rPr>
          <w:rFonts w:ascii="仿宋_GB2312" w:hAnsi="微软雅黑" w:eastAsia="仿宋_GB2312" w:cs="宋体"/>
          <w:color w:val="FF0000"/>
          <w:szCs w:val="32"/>
          <w:highlight w:val="none"/>
        </w:rPr>
      </w:pPr>
      <w:bookmarkStart w:id="2" w:name="OLE_LINK2"/>
      <w:bookmarkStart w:id="3" w:name="OLE_LINK1"/>
      <w:r>
        <w:rPr>
          <w:rFonts w:hint="eastAsia" w:ascii="楷体" w:hAnsi="楷体" w:eastAsia="楷体" w:cs="宋体"/>
          <w:color w:val="000000" w:themeColor="text1"/>
          <w:szCs w:val="32"/>
          <w:highlight w:val="none"/>
        </w:rPr>
        <w:t>（一）规范公益性公墓墓（格）葬费管理</w:t>
      </w:r>
      <w:r>
        <w:rPr>
          <w:rFonts w:hint="eastAsia" w:ascii="仿宋_GB2312" w:hAnsi="微软雅黑" w:eastAsia="仿宋_GB2312" w:cs="宋体"/>
          <w:color w:val="000000" w:themeColor="text1"/>
          <w:szCs w:val="32"/>
          <w:highlight w:val="none"/>
        </w:rPr>
        <w:t>。公益性公墓墓（格）葬费实行政府指导价管理，收费标准由</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发展改革部门会同同级民政部门，按照非营利原则，综合考虑建设成本、地方经济发展水平、社会承受能力等因素，区分城乡、墓型差异等依法依规制定，并逐步建立公益性公墓墓（格）葬收费定价机制。相关公墓经营单位结合建设成本差异等情况和非营利原则，确定不同墓（格）型具体收费标准，经</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民政部门审核后，报</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发展改革部门备案。</w:t>
      </w:r>
    </w:p>
    <w:bookmarkEnd w:id="2"/>
    <w:bookmarkEnd w:id="3"/>
    <w:p>
      <w:pPr>
        <w:jc w:val="left"/>
        <w:rPr>
          <w:rFonts w:ascii="仿宋_GB2312" w:hAnsi="微软雅黑" w:eastAsia="仿宋_GB2312" w:cs="宋体"/>
          <w:color w:val="000000" w:themeColor="text1"/>
          <w:szCs w:val="32"/>
          <w:highlight w:val="none"/>
        </w:rPr>
      </w:pPr>
      <w:r>
        <w:rPr>
          <w:rFonts w:hint="eastAsia" w:ascii="楷体" w:hAnsi="楷体" w:eastAsia="楷体" w:cs="宋体"/>
          <w:color w:val="000000" w:themeColor="text1"/>
          <w:szCs w:val="32"/>
          <w:highlight w:val="none"/>
        </w:rPr>
        <w:t>（二）规范经营性公墓墓（格）葬费管理。</w:t>
      </w:r>
      <w:r>
        <w:rPr>
          <w:rFonts w:hint="eastAsia" w:ascii="仿宋_GB2312" w:hAnsi="微软雅黑" w:eastAsia="仿宋_GB2312" w:cs="宋体"/>
          <w:color w:val="000000" w:themeColor="text1"/>
          <w:szCs w:val="32"/>
          <w:highlight w:val="none"/>
        </w:rPr>
        <w:t>经营性公墓墓（格）葬费实行市场调节价管理，由公墓经营单位根据经营成本、社会承受能力、市场需求等合理确定。</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民政部门会同发展改革部门建立收费标准备案会商机制，经部门会商审核确认，</w:t>
      </w:r>
      <w:bookmarkStart w:id="4" w:name="OLE_LINK24"/>
      <w:bookmarkStart w:id="5" w:name="OLE_LINK25"/>
      <w:r>
        <w:rPr>
          <w:rFonts w:hint="eastAsia" w:ascii="仿宋_GB2312" w:hAnsi="微软雅黑" w:eastAsia="仿宋_GB2312" w:cs="宋体"/>
          <w:color w:val="000000" w:themeColor="text1"/>
          <w:szCs w:val="32"/>
          <w:highlight w:val="none"/>
        </w:rPr>
        <w:t>由</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民政部门</w:t>
      </w:r>
      <w:bookmarkEnd w:id="4"/>
      <w:bookmarkEnd w:id="5"/>
      <w:r>
        <w:rPr>
          <w:rFonts w:hint="eastAsia" w:ascii="仿宋_GB2312" w:hAnsi="微软雅黑" w:eastAsia="仿宋_GB2312" w:cs="宋体"/>
          <w:color w:val="000000" w:themeColor="text1"/>
          <w:szCs w:val="32"/>
          <w:highlight w:val="none"/>
        </w:rPr>
        <w:t>公示后，报</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发展改革部门备案。</w:t>
      </w:r>
    </w:p>
    <w:p>
      <w:pPr>
        <w:widowControl/>
        <w:spacing w:line="560" w:lineRule="exact"/>
        <w:ind w:firstLine="632" w:firstLineChars="200"/>
        <w:jc w:val="left"/>
        <w:rPr>
          <w:rFonts w:ascii="仿宋_GB2312" w:hAnsi="微软雅黑" w:eastAsia="仿宋_GB2312" w:cs="宋体"/>
          <w:color w:val="000000" w:themeColor="text1"/>
          <w:szCs w:val="32"/>
          <w:highlight w:val="none"/>
        </w:rPr>
      </w:pPr>
      <w:r>
        <w:rPr>
          <w:rFonts w:hint="eastAsia" w:ascii="楷体" w:hAnsi="楷体" w:eastAsia="楷体" w:cs="宋体"/>
          <w:color w:val="000000" w:themeColor="text1"/>
          <w:szCs w:val="32"/>
          <w:highlight w:val="none"/>
        </w:rPr>
        <w:t>（三）规范公墓维护管理费管理。</w:t>
      </w:r>
      <w:r>
        <w:rPr>
          <w:rFonts w:hint="eastAsia" w:ascii="仿宋_GB2312" w:hAnsi="微软雅黑" w:eastAsia="仿宋_GB2312" w:cs="宋体"/>
          <w:color w:val="000000" w:themeColor="text1"/>
          <w:szCs w:val="32"/>
          <w:highlight w:val="none"/>
        </w:rPr>
        <w:t>公墓维护管理费（含经营性公墓）指公墓经营单位收取的日常管理及维护等费用。公墓维护管理费实行政府指导价管理，收费标</w:t>
      </w:r>
      <w:r>
        <w:rPr>
          <w:rFonts w:hint="eastAsia" w:ascii="仿宋_GB2312" w:hAnsi="微软雅黑" w:eastAsia="仿宋_GB2312" w:cs="宋体"/>
          <w:color w:val="000000" w:themeColor="text1"/>
          <w:szCs w:val="32"/>
          <w:highlight w:val="none"/>
          <w:lang w:eastAsia="zh-CN"/>
        </w:rPr>
        <w:t>准由区</w:t>
      </w:r>
      <w:r>
        <w:rPr>
          <w:rFonts w:hint="eastAsia" w:ascii="仿宋_GB2312" w:hAnsi="微软雅黑" w:eastAsia="仿宋_GB2312" w:cs="宋体"/>
          <w:color w:val="000000" w:themeColor="text1"/>
          <w:szCs w:val="32"/>
          <w:highlight w:val="none"/>
        </w:rPr>
        <w:t>发展改革部门会同</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民政部门制定公布。公墓维护管理费经</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民政部门审核后，报</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发展改革部门备案。</w:t>
      </w:r>
    </w:p>
    <w:p>
      <w:pPr>
        <w:widowControl/>
        <w:spacing w:line="560" w:lineRule="exact"/>
        <w:ind w:firstLine="632" w:firstLineChars="200"/>
        <w:jc w:val="left"/>
        <w:rPr>
          <w:rFonts w:ascii="楷体" w:hAnsi="楷体" w:eastAsia="楷体" w:cs="宋体"/>
          <w:color w:val="000000" w:themeColor="text1"/>
          <w:szCs w:val="32"/>
          <w:highlight w:val="none"/>
        </w:rPr>
      </w:pPr>
      <w:r>
        <w:rPr>
          <w:rFonts w:hint="eastAsia" w:ascii="仿宋_GB2312" w:hAnsi="微软雅黑" w:eastAsia="仿宋_GB2312" w:cs="宋体"/>
          <w:color w:val="000000" w:themeColor="text1"/>
          <w:szCs w:val="32"/>
          <w:highlight w:val="none"/>
        </w:rPr>
        <w:t>公墓维护管理费原则上按年计收，双方可以合同约定方式确定计收方式，如一次性收取，最长收费年限不得超过20年。经营性公墓单位应当提取墓葬费的</w:t>
      </w:r>
      <w:r>
        <w:rPr>
          <w:rFonts w:hint="eastAsia" w:ascii="仿宋_GB2312" w:hAnsi="微软雅黑" w:eastAsia="仿宋_GB2312" w:cs="宋体"/>
          <w:color w:val="000000" w:themeColor="text1"/>
          <w:szCs w:val="32"/>
          <w:highlight w:val="none"/>
          <w:lang w:eastAsia="zh-CN"/>
        </w:rPr>
        <w:t>5%</w:t>
      </w:r>
      <w:r>
        <w:rPr>
          <w:rFonts w:hint="eastAsia" w:ascii="仿宋_GB2312" w:hAnsi="微软雅黑" w:eastAsia="仿宋_GB2312" w:cs="宋体"/>
          <w:color w:val="000000" w:themeColor="text1"/>
          <w:szCs w:val="32"/>
          <w:highlight w:val="none"/>
        </w:rPr>
        <w:t>建立维护基金，实行专账管理，在</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民政部门的监督下专门用于墓位的维护和管理。</w:t>
      </w:r>
    </w:p>
    <w:p>
      <w:pPr>
        <w:widowControl/>
        <w:spacing w:line="560" w:lineRule="exact"/>
        <w:ind w:firstLine="632" w:firstLineChars="200"/>
        <w:jc w:val="left"/>
        <w:rPr>
          <w:rFonts w:ascii="仿宋_GB2312" w:hAnsi="微软雅黑" w:eastAsia="仿宋_GB2312" w:cs="宋体"/>
          <w:color w:val="000000" w:themeColor="text1"/>
          <w:szCs w:val="32"/>
          <w:highlight w:val="none"/>
        </w:rPr>
      </w:pPr>
      <w:r>
        <w:rPr>
          <w:rFonts w:hint="eastAsia" w:ascii="仿宋_GB2312" w:hAnsi="微软雅黑" w:eastAsia="仿宋_GB2312" w:cs="宋体"/>
          <w:color w:val="000000" w:themeColor="text1"/>
          <w:szCs w:val="32"/>
          <w:highlight w:val="none"/>
        </w:rPr>
        <w:t>本通知实施前双方已签订墓葬服务协议的，按照协议签订时的收费政策执行。</w:t>
      </w:r>
    </w:p>
    <w:p>
      <w:pPr>
        <w:widowControl/>
        <w:spacing w:line="560" w:lineRule="exact"/>
        <w:ind w:firstLine="632" w:firstLineChars="200"/>
        <w:jc w:val="left"/>
        <w:rPr>
          <w:rFonts w:hint="eastAsia" w:ascii="黑体" w:hAnsi="黑体" w:eastAsia="黑体" w:cs="宋体"/>
          <w:color w:val="000000" w:themeColor="text1"/>
          <w:szCs w:val="32"/>
          <w:highlight w:val="none"/>
        </w:rPr>
      </w:pPr>
      <w:r>
        <w:rPr>
          <w:rFonts w:hint="eastAsia" w:ascii="黑体" w:hAnsi="黑体" w:eastAsia="黑体" w:cs="宋体"/>
          <w:color w:val="000000" w:themeColor="text1"/>
          <w:szCs w:val="32"/>
          <w:highlight w:val="none"/>
        </w:rPr>
        <w:t>三、规范殡葬用品价格管理</w:t>
      </w:r>
    </w:p>
    <w:p>
      <w:pPr>
        <w:widowControl/>
        <w:spacing w:line="560" w:lineRule="exact"/>
        <w:ind w:firstLine="632" w:firstLineChars="200"/>
        <w:jc w:val="left"/>
        <w:rPr>
          <w:rFonts w:hint="eastAsia" w:ascii="仿宋_GB2312" w:hAnsi="微软雅黑" w:eastAsia="仿宋_GB2312" w:cs="宋体"/>
          <w:color w:val="000000" w:themeColor="text1"/>
          <w:szCs w:val="32"/>
          <w:highlight w:val="none"/>
        </w:rPr>
      </w:pPr>
      <w:r>
        <w:rPr>
          <w:rFonts w:hint="eastAsia" w:ascii="楷体" w:hAnsi="楷体" w:eastAsia="楷体" w:cs="宋体"/>
          <w:color w:val="000000" w:themeColor="text1"/>
          <w:szCs w:val="32"/>
          <w:highlight w:val="none"/>
        </w:rPr>
        <w:t>（一）统一殡葬用品清单。</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民政部门统一制定全</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殡葬用品清单，原则上殡葬基本服务项目清单中的殡葬用品不得列入殡葬用品清单范围。</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民政部门、市场监管部门指导殡葬服务单位，在</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公布的殡葬用品清单范围内，建立服务单位殡葬用品销售清单，载明用品名称、计费单位、销售价格等内容，统一殡葬用品销售清单公示样式，并抄报</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民政部门、市场监管部门，主动接受监督。</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级殡葬用品清单详见附件3。</w:t>
      </w:r>
    </w:p>
    <w:p>
      <w:pPr>
        <w:widowControl/>
        <w:spacing w:line="560" w:lineRule="exact"/>
        <w:ind w:firstLine="632" w:firstLineChars="200"/>
        <w:jc w:val="left"/>
        <w:rPr>
          <w:rFonts w:hint="eastAsia" w:ascii="仿宋_GB2312" w:hAnsi="微软雅黑" w:eastAsia="仿宋_GB2312" w:cs="宋体"/>
          <w:color w:val="000000" w:themeColor="text1"/>
          <w:szCs w:val="32"/>
          <w:highlight w:val="none"/>
        </w:rPr>
      </w:pPr>
      <w:r>
        <w:rPr>
          <w:rFonts w:hint="eastAsia" w:ascii="楷体" w:hAnsi="楷体" w:eastAsia="楷体" w:cs="宋体"/>
          <w:color w:val="000000" w:themeColor="text1"/>
          <w:szCs w:val="32"/>
          <w:highlight w:val="none"/>
        </w:rPr>
        <w:t>（二）合理确定殡葬用品价格。</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殡葬服务单位要始终坚持公益属性，参考商品招标购进价格、市场平均价格水平、社会可承受能力等，合理确定殡葬用品价格，并保持相对稳定。在销售殡葬用品时，要遵循自愿原则、明码标价、诚实经营，不得限制或变相限制使用自带商品，主动接受相关部门和群众的监督。</w:t>
      </w:r>
    </w:p>
    <w:p>
      <w:pPr>
        <w:widowControl/>
        <w:spacing w:line="560" w:lineRule="exact"/>
        <w:ind w:firstLine="632" w:firstLineChars="200"/>
        <w:jc w:val="left"/>
        <w:rPr>
          <w:rFonts w:hint="eastAsia" w:ascii="仿宋_GB2312" w:hAnsi="微软雅黑" w:eastAsia="仿宋_GB2312" w:cs="宋体"/>
          <w:color w:val="000000" w:themeColor="text1"/>
          <w:szCs w:val="32"/>
          <w:highlight w:val="none"/>
        </w:rPr>
      </w:pPr>
      <w:r>
        <w:rPr>
          <w:rFonts w:hint="eastAsia" w:ascii="楷体" w:hAnsi="楷体" w:eastAsia="楷体" w:cs="宋体"/>
          <w:color w:val="000000" w:themeColor="text1"/>
          <w:szCs w:val="32"/>
          <w:highlight w:val="none"/>
        </w:rPr>
        <w:t>（三）定期开展巡查检查。</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民政部门、市场监管部门要加强</w:t>
      </w:r>
      <w:r>
        <w:rPr>
          <w:rFonts w:hint="eastAsia" w:ascii="仿宋_GB2312" w:hAnsi="微软雅黑" w:eastAsia="仿宋_GB2312" w:cs="宋体"/>
          <w:color w:val="000000" w:themeColor="text1"/>
          <w:szCs w:val="32"/>
          <w:highlight w:val="none"/>
          <w:lang w:eastAsia="zh-CN"/>
        </w:rPr>
        <w:t>对</w:t>
      </w:r>
      <w:r>
        <w:rPr>
          <w:rFonts w:hint="eastAsia" w:ascii="仿宋_GB2312" w:hAnsi="微软雅黑" w:eastAsia="仿宋_GB2312" w:cs="宋体"/>
          <w:color w:val="000000" w:themeColor="text1"/>
          <w:szCs w:val="32"/>
          <w:highlight w:val="none"/>
        </w:rPr>
        <w:t>殡葬服务单位</w:t>
      </w:r>
      <w:bookmarkStart w:id="6" w:name="_GoBack"/>
      <w:bookmarkEnd w:id="6"/>
      <w:r>
        <w:rPr>
          <w:rFonts w:hint="eastAsia" w:ascii="仿宋_GB2312" w:hAnsi="微软雅黑" w:eastAsia="仿宋_GB2312" w:cs="宋体"/>
          <w:color w:val="000000" w:themeColor="text1"/>
          <w:szCs w:val="32"/>
          <w:highlight w:val="none"/>
        </w:rPr>
        <w:t>销售殡葬用品的价格管理，定期开展巡查、检查，坚决遏制高价销售行为。</w:t>
      </w:r>
    </w:p>
    <w:p>
      <w:pPr>
        <w:spacing w:line="560" w:lineRule="exact"/>
        <w:ind w:firstLine="632" w:firstLineChars="200"/>
        <w:rPr>
          <w:rFonts w:ascii="黑体" w:hAnsi="黑体" w:eastAsia="黑体" w:cs="宋体"/>
          <w:color w:val="000000" w:themeColor="text1"/>
          <w:szCs w:val="32"/>
          <w:highlight w:val="none"/>
        </w:rPr>
      </w:pPr>
      <w:r>
        <w:rPr>
          <w:rFonts w:hint="eastAsia" w:ascii="黑体" w:hAnsi="黑体" w:eastAsia="黑体" w:cs="宋体"/>
          <w:color w:val="000000" w:themeColor="text1"/>
          <w:szCs w:val="32"/>
          <w:highlight w:val="none"/>
        </w:rPr>
        <w:t>四、加强殡葬服务收费行为监管</w:t>
      </w:r>
    </w:p>
    <w:p>
      <w:pPr>
        <w:widowControl/>
        <w:spacing w:line="560" w:lineRule="exact"/>
        <w:ind w:firstLine="632" w:firstLineChars="200"/>
        <w:jc w:val="left"/>
        <w:rPr>
          <w:rFonts w:ascii="仿宋_GB2312" w:hAnsi="微软雅黑" w:eastAsia="仿宋_GB2312" w:cs="宋体"/>
          <w:color w:val="000000" w:themeColor="text1"/>
          <w:szCs w:val="32"/>
          <w:highlight w:val="none"/>
        </w:rPr>
      </w:pPr>
      <w:r>
        <w:rPr>
          <w:rFonts w:hint="eastAsia" w:ascii="楷体" w:hAnsi="楷体" w:eastAsia="楷体" w:cs="宋体"/>
          <w:color w:val="000000" w:themeColor="text1"/>
          <w:szCs w:val="32"/>
          <w:highlight w:val="none"/>
        </w:rPr>
        <w:t>（一）落实优惠减免政策。</w:t>
      </w:r>
      <w:r>
        <w:rPr>
          <w:rFonts w:hint="eastAsia" w:ascii="仿宋_GB2312" w:hAnsi="微软雅黑" w:eastAsia="仿宋_GB2312" w:cs="宋体"/>
          <w:color w:val="000000" w:themeColor="text1"/>
          <w:szCs w:val="32"/>
          <w:highlight w:val="none"/>
        </w:rPr>
        <w:t>殡葬服务是面向全社会的特殊公共服务，坚持基本殡葬服务的公益属性，严格落实各项惠民殡葬政策，具体按</w:t>
      </w:r>
      <w:r>
        <w:rPr>
          <w:rFonts w:hint="eastAsia" w:ascii="仿宋_GB2312" w:hAnsi="微软雅黑" w:eastAsia="仿宋_GB2312" w:cs="宋体"/>
          <w:color w:val="000000" w:themeColor="text1"/>
          <w:szCs w:val="32"/>
          <w:highlight w:val="none"/>
          <w:lang w:eastAsia="zh-CN"/>
        </w:rPr>
        <w:t>市、区</w:t>
      </w:r>
      <w:r>
        <w:rPr>
          <w:rFonts w:hint="eastAsia" w:ascii="仿宋_GB2312" w:hAnsi="微软雅黑" w:eastAsia="仿宋_GB2312" w:cs="宋体"/>
          <w:color w:val="000000" w:themeColor="text1"/>
          <w:szCs w:val="32"/>
          <w:highlight w:val="none"/>
        </w:rPr>
        <w:t>制定的惠民殡葬相关政策执行，执行期间如遇惠民殡葬政策调整的，从其规定。</w:t>
      </w:r>
    </w:p>
    <w:p>
      <w:pPr>
        <w:widowControl/>
        <w:spacing w:line="560" w:lineRule="exact"/>
        <w:ind w:firstLine="632" w:firstLineChars="200"/>
        <w:jc w:val="left"/>
        <w:rPr>
          <w:rFonts w:ascii="仿宋_GB2312" w:hAnsi="微软雅黑" w:eastAsia="仿宋_GB2312" w:cs="宋体"/>
          <w:color w:val="000000" w:themeColor="text1"/>
          <w:szCs w:val="32"/>
          <w:highlight w:val="none"/>
        </w:rPr>
      </w:pPr>
      <w:r>
        <w:rPr>
          <w:rFonts w:hint="eastAsia" w:ascii="楷体" w:hAnsi="楷体" w:eastAsia="楷体" w:cs="宋体"/>
          <w:color w:val="000000" w:themeColor="text1"/>
          <w:szCs w:val="32"/>
          <w:highlight w:val="none"/>
        </w:rPr>
        <w:t>（二）严格收费公示制度。</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殡葬服务单位应规范收费票据管理，严格执行收费公示和明码标价制度，要在经营场所显著位置公开基本服务项目清单、延伸服务项目清单、殡葬用品销售清单，主动公示服务内容、收费标准、计费单位、优惠减免政策、投诉举报电话等信息，清单之外一律不得收费。</w:t>
      </w:r>
    </w:p>
    <w:p>
      <w:pPr>
        <w:widowControl/>
        <w:spacing w:line="560" w:lineRule="exact"/>
        <w:ind w:firstLine="632" w:firstLineChars="200"/>
        <w:jc w:val="left"/>
        <w:rPr>
          <w:rFonts w:ascii="仿宋_GB2312" w:hAnsi="微软雅黑" w:eastAsia="仿宋_GB2312" w:cs="宋体"/>
          <w:color w:val="000000" w:themeColor="text1"/>
          <w:szCs w:val="32"/>
          <w:highlight w:val="none"/>
        </w:rPr>
      </w:pPr>
      <w:r>
        <w:rPr>
          <w:rFonts w:hint="eastAsia" w:ascii="楷体" w:hAnsi="楷体" w:eastAsia="楷体" w:cs="宋体"/>
          <w:color w:val="000000" w:themeColor="text1"/>
          <w:szCs w:val="32"/>
          <w:highlight w:val="none"/>
        </w:rPr>
        <w:t>（三）强化日常监督检查。</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市场监管部门要加强殡葬服务收费行为监督检查，畅通投诉举报渠道，依法查处殡葬服务单位价格违法违规行为，切实维护群众合法价格权益。</w:t>
      </w:r>
    </w:p>
    <w:p>
      <w:pPr>
        <w:spacing w:line="560" w:lineRule="exact"/>
        <w:ind w:firstLine="632" w:firstLineChars="200"/>
        <w:jc w:val="left"/>
        <w:rPr>
          <w:rFonts w:ascii="仿宋_GB2312" w:hAnsi="微软雅黑" w:eastAsia="仿宋_GB2312" w:cs="宋体"/>
          <w:color w:val="000000" w:themeColor="text1"/>
          <w:szCs w:val="32"/>
          <w:highlight w:val="none"/>
        </w:rPr>
      </w:pPr>
      <w:r>
        <w:rPr>
          <w:rFonts w:hint="eastAsia" w:ascii="仿宋_GB2312" w:hAnsi="微软雅黑" w:eastAsia="仿宋_GB2312" w:cs="宋体"/>
          <w:color w:val="000000" w:themeColor="text1"/>
          <w:szCs w:val="32"/>
          <w:highlight w:val="none"/>
        </w:rPr>
        <w:t>本通知自2025年 月 日起执行。原</w:t>
      </w:r>
      <w:r>
        <w:rPr>
          <w:rFonts w:hint="eastAsia" w:ascii="仿宋_GB2312" w:hAnsi="微软雅黑" w:eastAsia="仿宋_GB2312" w:cs="宋体"/>
          <w:color w:val="000000" w:themeColor="text1"/>
          <w:szCs w:val="32"/>
          <w:highlight w:val="none"/>
          <w:lang w:eastAsia="zh-CN"/>
        </w:rPr>
        <w:t>区</w:t>
      </w:r>
      <w:r>
        <w:rPr>
          <w:rFonts w:hint="eastAsia" w:ascii="仿宋_GB2312" w:hAnsi="微软雅黑" w:eastAsia="仿宋_GB2312" w:cs="宋体"/>
          <w:color w:val="000000" w:themeColor="text1"/>
          <w:szCs w:val="32"/>
          <w:highlight w:val="none"/>
        </w:rPr>
        <w:t>《关于</w:t>
      </w:r>
      <w:r>
        <w:rPr>
          <w:rFonts w:hint="eastAsia" w:ascii="仿宋_GB2312" w:hAnsi="微软雅黑" w:eastAsia="仿宋_GB2312" w:cs="宋体"/>
          <w:color w:val="000000" w:themeColor="text1"/>
          <w:szCs w:val="32"/>
          <w:highlight w:val="none"/>
          <w:lang w:eastAsia="zh-CN"/>
        </w:rPr>
        <w:t>调整</w:t>
      </w:r>
      <w:r>
        <w:rPr>
          <w:rFonts w:hint="eastAsia" w:ascii="仿宋_GB2312" w:hAnsi="微软雅黑" w:eastAsia="仿宋_GB2312" w:cs="宋体"/>
          <w:color w:val="000000" w:themeColor="text1"/>
          <w:szCs w:val="32"/>
          <w:highlight w:val="none"/>
        </w:rPr>
        <w:t>殡葬服务收费</w:t>
      </w:r>
      <w:r>
        <w:rPr>
          <w:rFonts w:hint="eastAsia" w:ascii="仿宋_GB2312" w:hAnsi="微软雅黑" w:eastAsia="仿宋_GB2312" w:cs="宋体"/>
          <w:color w:val="000000" w:themeColor="text1"/>
          <w:szCs w:val="32"/>
          <w:highlight w:val="none"/>
          <w:lang w:eastAsia="zh-CN"/>
        </w:rPr>
        <w:t>标准</w:t>
      </w:r>
      <w:r>
        <w:rPr>
          <w:rFonts w:hint="eastAsia" w:ascii="仿宋_GB2312" w:hAnsi="微软雅黑" w:eastAsia="仿宋_GB2312" w:cs="宋体"/>
          <w:color w:val="000000" w:themeColor="text1"/>
          <w:szCs w:val="32"/>
          <w:highlight w:val="none"/>
        </w:rPr>
        <w:t>的通知》（淮价费〔201</w:t>
      </w:r>
      <w:r>
        <w:rPr>
          <w:rFonts w:hint="eastAsia" w:ascii="仿宋_GB2312" w:hAnsi="微软雅黑" w:eastAsia="仿宋_GB2312" w:cs="宋体"/>
          <w:color w:val="000000" w:themeColor="text1"/>
          <w:szCs w:val="32"/>
          <w:highlight w:val="none"/>
          <w:lang w:val="en-US" w:eastAsia="zh-CN"/>
        </w:rPr>
        <w:t>6</w:t>
      </w:r>
      <w:r>
        <w:rPr>
          <w:rFonts w:hint="eastAsia" w:ascii="仿宋_GB2312" w:hAnsi="微软雅黑" w:eastAsia="仿宋_GB2312" w:cs="宋体"/>
          <w:color w:val="000000" w:themeColor="text1"/>
          <w:szCs w:val="32"/>
          <w:highlight w:val="none"/>
        </w:rPr>
        <w:t>〕</w:t>
      </w:r>
      <w:r>
        <w:rPr>
          <w:rFonts w:hint="eastAsia" w:ascii="仿宋_GB2312" w:hAnsi="微软雅黑" w:eastAsia="仿宋_GB2312" w:cs="宋体"/>
          <w:color w:val="000000" w:themeColor="text1"/>
          <w:szCs w:val="32"/>
          <w:highlight w:val="none"/>
          <w:lang w:val="en-US" w:eastAsia="zh-CN"/>
        </w:rPr>
        <w:t>42</w:t>
      </w:r>
      <w:r>
        <w:rPr>
          <w:rFonts w:hint="eastAsia" w:ascii="仿宋_GB2312" w:hAnsi="微软雅黑" w:eastAsia="仿宋_GB2312" w:cs="宋体"/>
          <w:color w:val="000000" w:themeColor="text1"/>
          <w:szCs w:val="32"/>
          <w:highlight w:val="none"/>
        </w:rPr>
        <w:t>号）同时废止，其他此前与本通知规定不一致的，以本通知为准。如遇国家、省</w:t>
      </w:r>
      <w:r>
        <w:rPr>
          <w:rFonts w:hint="eastAsia" w:ascii="仿宋_GB2312" w:hAnsi="微软雅黑" w:eastAsia="仿宋_GB2312" w:cs="宋体"/>
          <w:color w:val="000000" w:themeColor="text1"/>
          <w:szCs w:val="32"/>
          <w:highlight w:val="none"/>
          <w:lang w:eastAsia="zh-CN"/>
        </w:rPr>
        <w:t>、市</w:t>
      </w:r>
      <w:r>
        <w:rPr>
          <w:rFonts w:hint="eastAsia" w:ascii="仿宋_GB2312" w:hAnsi="微软雅黑" w:eastAsia="仿宋_GB2312" w:cs="宋体"/>
          <w:color w:val="000000" w:themeColor="text1"/>
          <w:szCs w:val="32"/>
          <w:highlight w:val="none"/>
        </w:rPr>
        <w:t>有关殡葬服务收费管理政策调整，从其规定。</w:t>
      </w:r>
    </w:p>
    <w:p>
      <w:pPr>
        <w:spacing w:line="560" w:lineRule="exact"/>
        <w:ind w:firstLine="632" w:firstLineChars="200"/>
        <w:jc w:val="left"/>
        <w:rPr>
          <w:rFonts w:ascii="仿宋_GB2312" w:hAnsi="微软雅黑" w:eastAsia="仿宋_GB2312" w:cs="宋体"/>
          <w:color w:val="000000" w:themeColor="text1"/>
          <w:szCs w:val="32"/>
          <w:highlight w:val="none"/>
        </w:rPr>
      </w:pPr>
    </w:p>
    <w:p>
      <w:pPr>
        <w:spacing w:line="560" w:lineRule="exact"/>
        <w:ind w:firstLine="632" w:firstLineChars="200"/>
        <w:jc w:val="left"/>
        <w:rPr>
          <w:rFonts w:ascii="Times New Roman" w:eastAsia="仿宋_GB2312"/>
          <w:color w:val="000000" w:themeColor="text1"/>
          <w:szCs w:val="32"/>
          <w:highlight w:val="none"/>
        </w:rPr>
      </w:pPr>
      <w:r>
        <w:rPr>
          <w:rFonts w:ascii="Times New Roman" w:eastAsia="仿宋_GB2312"/>
          <w:color w:val="000000" w:themeColor="text1"/>
          <w:szCs w:val="32"/>
          <w:highlight w:val="none"/>
        </w:rPr>
        <w:t>附件：1. 淮安</w:t>
      </w:r>
      <w:r>
        <w:rPr>
          <w:rFonts w:hint="eastAsia" w:ascii="Times New Roman" w:eastAsia="仿宋_GB2312"/>
          <w:color w:val="000000" w:themeColor="text1"/>
          <w:szCs w:val="32"/>
          <w:highlight w:val="none"/>
          <w:lang w:eastAsia="zh-CN"/>
        </w:rPr>
        <w:t>区</w:t>
      </w:r>
      <w:r>
        <w:rPr>
          <w:rFonts w:ascii="Times New Roman" w:eastAsia="仿宋_GB2312"/>
          <w:color w:val="000000" w:themeColor="text1"/>
          <w:szCs w:val="32"/>
          <w:highlight w:val="none"/>
        </w:rPr>
        <w:t>殡葬基本服务项目清单</w:t>
      </w:r>
    </w:p>
    <w:p>
      <w:pPr>
        <w:spacing w:line="560" w:lineRule="exact"/>
        <w:ind w:firstLine="1580" w:firstLineChars="500"/>
        <w:jc w:val="left"/>
        <w:rPr>
          <w:rFonts w:ascii="Times New Roman" w:eastAsia="仿宋_GB2312"/>
          <w:color w:val="000000" w:themeColor="text1"/>
          <w:szCs w:val="32"/>
          <w:highlight w:val="none"/>
        </w:rPr>
      </w:pPr>
      <w:r>
        <w:rPr>
          <w:rFonts w:ascii="Times New Roman" w:eastAsia="仿宋_GB2312"/>
          <w:color w:val="000000" w:themeColor="text1"/>
          <w:szCs w:val="32"/>
          <w:highlight w:val="none"/>
        </w:rPr>
        <w:t>2. 淮安</w:t>
      </w:r>
      <w:r>
        <w:rPr>
          <w:rFonts w:hint="eastAsia" w:ascii="Times New Roman" w:eastAsia="仿宋_GB2312"/>
          <w:color w:val="000000" w:themeColor="text1"/>
          <w:szCs w:val="32"/>
          <w:highlight w:val="none"/>
          <w:lang w:eastAsia="zh-CN"/>
        </w:rPr>
        <w:t>区</w:t>
      </w:r>
      <w:r>
        <w:rPr>
          <w:rFonts w:ascii="Times New Roman" w:eastAsia="仿宋_GB2312"/>
          <w:color w:val="000000" w:themeColor="text1"/>
          <w:szCs w:val="32"/>
          <w:highlight w:val="none"/>
        </w:rPr>
        <w:t>殡葬延伸服务项目清单</w:t>
      </w:r>
    </w:p>
    <w:p>
      <w:pPr>
        <w:spacing w:line="560" w:lineRule="exact"/>
        <w:ind w:firstLine="1580" w:firstLineChars="500"/>
        <w:jc w:val="left"/>
        <w:rPr>
          <w:rFonts w:ascii="Times New Roman" w:eastAsia="仿宋_GB2312"/>
          <w:color w:val="000000" w:themeColor="text1"/>
          <w:szCs w:val="32"/>
          <w:highlight w:val="none"/>
        </w:rPr>
      </w:pPr>
      <w:r>
        <w:rPr>
          <w:rFonts w:ascii="Times New Roman" w:eastAsia="仿宋_GB2312"/>
          <w:color w:val="000000" w:themeColor="text1"/>
          <w:szCs w:val="32"/>
          <w:highlight w:val="none"/>
        </w:rPr>
        <w:t>3. 淮安</w:t>
      </w:r>
      <w:r>
        <w:rPr>
          <w:rFonts w:hint="eastAsia" w:ascii="Times New Roman" w:eastAsia="仿宋_GB2312"/>
          <w:color w:val="000000" w:themeColor="text1"/>
          <w:szCs w:val="32"/>
          <w:highlight w:val="none"/>
          <w:lang w:eastAsia="zh-CN"/>
        </w:rPr>
        <w:t>区</w:t>
      </w:r>
      <w:r>
        <w:rPr>
          <w:rFonts w:ascii="Times New Roman" w:eastAsia="仿宋_GB2312"/>
          <w:color w:val="000000" w:themeColor="text1"/>
          <w:szCs w:val="32"/>
          <w:highlight w:val="none"/>
        </w:rPr>
        <w:t>殡葬基本用品清单</w:t>
      </w:r>
    </w:p>
    <w:p>
      <w:pPr>
        <w:ind w:firstLine="1555" w:firstLineChars="492"/>
        <w:rPr>
          <w:rFonts w:ascii="Times New Roman" w:eastAsia="仿宋_GB2312"/>
          <w:color w:val="000000" w:themeColor="text1"/>
          <w:szCs w:val="32"/>
          <w:highlight w:val="none"/>
        </w:rPr>
      </w:pPr>
      <w:r>
        <w:rPr>
          <w:rFonts w:ascii="Times New Roman" w:eastAsia="仿宋_GB2312"/>
          <w:color w:val="000000" w:themeColor="text1"/>
          <w:szCs w:val="32"/>
          <w:highlight w:val="none"/>
        </w:rPr>
        <w:t>4. 公墓墓（格）葬费和维护管理费备案表</w:t>
      </w:r>
    </w:p>
    <w:p>
      <w:pPr>
        <w:ind w:firstLine="0"/>
        <w:rPr>
          <w:rFonts w:ascii="Times New Roman" w:eastAsia="仿宋_GB2312"/>
          <w:color w:val="000000" w:themeColor="text1"/>
          <w:szCs w:val="32"/>
          <w:highlight w:val="none"/>
        </w:rPr>
      </w:pPr>
    </w:p>
    <w:p>
      <w:pPr>
        <w:spacing w:line="560" w:lineRule="exact"/>
        <w:rPr>
          <w:color w:val="000000" w:themeColor="text1"/>
          <w:szCs w:val="32"/>
          <w:highlight w:val="none"/>
        </w:rPr>
      </w:pPr>
    </w:p>
    <w:p>
      <w:pPr>
        <w:spacing w:line="560" w:lineRule="exact"/>
        <w:rPr>
          <w:color w:val="000000" w:themeColor="text1"/>
          <w:szCs w:val="32"/>
          <w:highlight w:val="none"/>
        </w:rPr>
      </w:pPr>
    </w:p>
    <w:p>
      <w:pPr>
        <w:spacing w:line="560" w:lineRule="exact"/>
        <w:ind w:left="0" w:leftChars="0" w:firstLine="0" w:firstLineChars="0"/>
        <w:rPr>
          <w:rFonts w:ascii="仿宋_GB2312" w:eastAsia="仿宋_GB2312"/>
          <w:szCs w:val="32"/>
          <w:highlight w:val="none"/>
        </w:rPr>
      </w:pPr>
      <w:r>
        <w:rPr>
          <w:rFonts w:hint="eastAsia" w:ascii="仿宋_GB2312" w:eastAsia="仿宋_GB2312"/>
          <w:szCs w:val="32"/>
          <w:highlight w:val="none"/>
        </w:rPr>
        <w:t>淮安市</w:t>
      </w:r>
      <w:r>
        <w:rPr>
          <w:rFonts w:hint="eastAsia" w:ascii="仿宋_GB2312" w:eastAsia="仿宋_GB2312"/>
          <w:szCs w:val="32"/>
          <w:highlight w:val="none"/>
          <w:lang w:eastAsia="zh-CN"/>
        </w:rPr>
        <w:t>淮安区</w:t>
      </w:r>
      <w:r>
        <w:rPr>
          <w:rFonts w:hint="eastAsia" w:ascii="仿宋_GB2312" w:eastAsia="仿宋_GB2312"/>
          <w:szCs w:val="32"/>
          <w:highlight w:val="none"/>
        </w:rPr>
        <w:t>发展和改革委员会        淮安市</w:t>
      </w:r>
      <w:r>
        <w:rPr>
          <w:rFonts w:hint="eastAsia" w:ascii="仿宋_GB2312" w:eastAsia="仿宋_GB2312"/>
          <w:szCs w:val="32"/>
          <w:highlight w:val="none"/>
          <w:lang w:eastAsia="zh-CN"/>
        </w:rPr>
        <w:t>淮安区</w:t>
      </w:r>
      <w:r>
        <w:rPr>
          <w:rFonts w:hint="eastAsia" w:ascii="仿宋_GB2312" w:eastAsia="仿宋_GB2312"/>
          <w:szCs w:val="32"/>
          <w:highlight w:val="none"/>
        </w:rPr>
        <w:t>民政局</w:t>
      </w:r>
    </w:p>
    <w:p>
      <w:pPr>
        <w:spacing w:line="560" w:lineRule="exact"/>
        <w:rPr>
          <w:rFonts w:ascii="仿宋_GB2312" w:eastAsia="仿宋_GB2312"/>
          <w:szCs w:val="32"/>
          <w:highlight w:val="none"/>
        </w:rPr>
      </w:pPr>
    </w:p>
    <w:p>
      <w:pPr>
        <w:spacing w:line="560" w:lineRule="exact"/>
        <w:rPr>
          <w:rFonts w:ascii="仿宋_GB2312" w:eastAsia="仿宋_GB2312"/>
          <w:szCs w:val="32"/>
          <w:highlight w:val="none"/>
        </w:rPr>
      </w:pPr>
    </w:p>
    <w:p>
      <w:pPr>
        <w:spacing w:line="560" w:lineRule="exact"/>
        <w:rPr>
          <w:rFonts w:ascii="仿宋_GB2312" w:eastAsia="仿宋_GB2312"/>
          <w:szCs w:val="32"/>
          <w:highlight w:val="none"/>
        </w:rPr>
      </w:pPr>
    </w:p>
    <w:p>
      <w:pPr>
        <w:spacing w:line="560" w:lineRule="exact"/>
        <w:ind w:firstLine="1703" w:firstLineChars="539"/>
        <w:rPr>
          <w:rFonts w:ascii="仿宋_GB2312" w:eastAsia="仿宋_GB2312"/>
          <w:szCs w:val="32"/>
          <w:highlight w:val="none"/>
        </w:rPr>
      </w:pPr>
      <w:r>
        <w:rPr>
          <w:rFonts w:hint="eastAsia" w:ascii="仿宋_GB2312" w:eastAsia="仿宋_GB2312"/>
          <w:szCs w:val="32"/>
          <w:highlight w:val="none"/>
        </w:rPr>
        <w:t xml:space="preserve">                淮安市</w:t>
      </w:r>
      <w:r>
        <w:rPr>
          <w:rFonts w:hint="eastAsia" w:ascii="仿宋_GB2312" w:eastAsia="仿宋_GB2312"/>
          <w:szCs w:val="32"/>
          <w:highlight w:val="none"/>
          <w:lang w:eastAsia="zh-CN"/>
        </w:rPr>
        <w:t>淮安区</w:t>
      </w:r>
      <w:r>
        <w:rPr>
          <w:rFonts w:hint="eastAsia" w:ascii="仿宋_GB2312" w:eastAsia="仿宋_GB2312"/>
          <w:szCs w:val="32"/>
          <w:highlight w:val="none"/>
        </w:rPr>
        <w:t>市场监督和管理局</w:t>
      </w:r>
    </w:p>
    <w:p>
      <w:pPr>
        <w:pStyle w:val="8"/>
        <w:spacing w:line="560" w:lineRule="exact"/>
        <w:ind w:firstLine="5688" w:firstLineChars="1800"/>
        <w:rPr>
          <w:rFonts w:eastAsia="仿宋_GB2312"/>
          <w:sz w:val="32"/>
          <w:szCs w:val="32"/>
          <w:highlight w:val="none"/>
        </w:rPr>
      </w:pPr>
      <w:r>
        <w:rPr>
          <w:rFonts w:eastAsia="仿宋_GB2312"/>
          <w:sz w:val="32"/>
          <w:szCs w:val="32"/>
          <w:highlight w:val="none"/>
        </w:rPr>
        <w:t>2025年</w:t>
      </w:r>
      <w:r>
        <w:rPr>
          <w:rFonts w:hint="eastAsia" w:eastAsia="仿宋_GB2312"/>
          <w:sz w:val="32"/>
          <w:szCs w:val="32"/>
          <w:highlight w:val="none"/>
        </w:rPr>
        <w:t xml:space="preserve">  </w:t>
      </w:r>
      <w:r>
        <w:rPr>
          <w:rFonts w:eastAsia="仿宋_GB2312"/>
          <w:sz w:val="32"/>
          <w:szCs w:val="32"/>
          <w:highlight w:val="none"/>
        </w:rPr>
        <w:t>月</w:t>
      </w:r>
      <w:r>
        <w:rPr>
          <w:rFonts w:hint="eastAsia" w:eastAsia="仿宋_GB2312"/>
          <w:sz w:val="32"/>
          <w:szCs w:val="32"/>
          <w:highlight w:val="none"/>
        </w:rPr>
        <w:t xml:space="preserve">  </w:t>
      </w:r>
      <w:r>
        <w:rPr>
          <w:rFonts w:eastAsia="仿宋_GB2312"/>
          <w:sz w:val="32"/>
          <w:szCs w:val="32"/>
          <w:highlight w:val="none"/>
        </w:rPr>
        <w:t>日</w:t>
      </w:r>
    </w:p>
    <w:p>
      <w:pPr>
        <w:spacing w:line="560" w:lineRule="exact"/>
        <w:ind w:firstLine="5846" w:firstLineChars="1850"/>
        <w:rPr>
          <w:rFonts w:ascii="仿宋_GB2312" w:eastAsia="仿宋_GB2312"/>
          <w:szCs w:val="32"/>
          <w:highlight w:val="none"/>
        </w:rPr>
      </w:pPr>
    </w:p>
    <w:p>
      <w:pPr>
        <w:spacing w:line="560" w:lineRule="exact"/>
        <w:ind w:firstLine="5846" w:firstLineChars="1850"/>
        <w:rPr>
          <w:rFonts w:ascii="仿宋_GB2312" w:eastAsia="仿宋_GB2312"/>
          <w:szCs w:val="32"/>
          <w:highlight w:val="none"/>
        </w:rPr>
      </w:pPr>
    </w:p>
    <w:p>
      <w:pPr>
        <w:spacing w:line="560" w:lineRule="exact"/>
        <w:ind w:firstLine="5846" w:firstLineChars="1850"/>
        <w:rPr>
          <w:rFonts w:ascii="仿宋_GB2312" w:eastAsia="仿宋_GB2312"/>
          <w:szCs w:val="32"/>
          <w:highlight w:val="none"/>
        </w:rPr>
      </w:pPr>
    </w:p>
    <w:p>
      <w:pPr>
        <w:spacing w:line="560" w:lineRule="exact"/>
        <w:ind w:firstLine="5846" w:firstLineChars="1850"/>
        <w:rPr>
          <w:rFonts w:ascii="仿宋_GB2312" w:eastAsia="仿宋_GB2312"/>
          <w:szCs w:val="32"/>
          <w:highlight w:val="none"/>
        </w:rPr>
      </w:pPr>
    </w:p>
    <w:p>
      <w:pPr>
        <w:spacing w:line="560" w:lineRule="exact"/>
        <w:ind w:firstLine="5846" w:firstLineChars="1850"/>
        <w:rPr>
          <w:rFonts w:ascii="仿宋_GB2312" w:eastAsia="仿宋_GB2312"/>
          <w:szCs w:val="32"/>
          <w:highlight w:val="none"/>
        </w:rPr>
      </w:pPr>
    </w:p>
    <w:p>
      <w:pPr>
        <w:spacing w:line="560" w:lineRule="exact"/>
        <w:ind w:firstLine="5846" w:firstLineChars="1850"/>
        <w:rPr>
          <w:rFonts w:ascii="仿宋_GB2312" w:eastAsia="仿宋_GB2312"/>
          <w:szCs w:val="32"/>
          <w:highlight w:val="none"/>
        </w:rPr>
      </w:pPr>
    </w:p>
    <w:p>
      <w:pPr>
        <w:spacing w:line="560" w:lineRule="exact"/>
        <w:ind w:firstLine="5846" w:firstLineChars="1850"/>
        <w:rPr>
          <w:rFonts w:ascii="仿宋_GB2312" w:eastAsia="仿宋_GB2312"/>
          <w:szCs w:val="32"/>
          <w:highlight w:val="none"/>
        </w:rPr>
      </w:pPr>
    </w:p>
    <w:p>
      <w:pPr>
        <w:spacing w:line="700" w:lineRule="exact"/>
        <w:ind w:firstLine="5846" w:firstLineChars="1850"/>
        <w:rPr>
          <w:rFonts w:ascii="仿宋_GB2312" w:eastAsia="仿宋_GB2312"/>
          <w:szCs w:val="32"/>
          <w:highlight w:val="none"/>
        </w:rPr>
      </w:pPr>
    </w:p>
    <w:p>
      <w:pPr>
        <w:spacing w:line="570" w:lineRule="exact"/>
        <w:ind w:left="316" w:leftChars="100" w:right="316" w:rightChars="100" w:firstLine="0"/>
        <w:rPr>
          <w:rFonts w:ascii="Times New Roman" w:eastAsia="仿宋"/>
          <w:spacing w:val="-4"/>
          <w:sz w:val="28"/>
          <w:szCs w:val="28"/>
          <w:highlight w:val="none"/>
        </w:rPr>
      </w:pPr>
      <w:r>
        <w:rPr>
          <w:rFonts w:hint="eastAsia" w:ascii="Times New Roman" w:eastAsia="仿宋"/>
          <w:spacing w:val="-4"/>
          <w:sz w:val="28"/>
          <w:szCs w:val="28"/>
          <w:highlight w:val="none"/>
        </w:rPr>
        <w:t>抄送：</w:t>
      </w:r>
      <w:r>
        <w:rPr>
          <w:rFonts w:ascii="Times New Roman" w:eastAsia="仿宋_GB2312"/>
          <w:spacing w:val="-4"/>
          <w:szCs w:val="84"/>
          <w:highlight w:val="none"/>
        </w:rPr>
        <w:pict>
          <v:shape id="自选图形 3" o:spid="_x0000_s1032" o:spt="32" type="#_x0000_t32" style="position:absolute;left:0pt;margin-left:0.1pt;margin-top:31.45pt;height:0.1pt;width:442.2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">
            <v:path arrowok="t"/>
            <v:fill on="f" focussize="0,0"/>
            <v:stroke weight="1pt"/>
            <v:imagedata o:title=""/>
            <o:lock v:ext="edit"/>
          </v:shape>
        </w:pict>
      </w:r>
      <w:r>
        <w:rPr>
          <w:rFonts w:ascii="Times New Roman" w:eastAsia="仿宋"/>
          <w:spacing w:val="-4"/>
          <w:sz w:val="28"/>
          <w:szCs w:val="28"/>
          <w:highlight w:val="none"/>
        </w:rPr>
        <w:pict>
          <v:shape id="自选图形 2" o:spid="_x0000_s1033" o:spt="32" type="#_x0000_t32" style="position:absolute;left:0pt;margin-left:0.1pt;margin-top:3.45pt;height:0.05pt;width:442.2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">
            <v:path arrowok="t"/>
            <v:fill on="f" focussize="0,0"/>
            <v:stroke weight="1pt"/>
            <v:imagedata o:title=""/>
            <o:lock v:ext="edit"/>
          </v:shape>
        </w:pict>
      </w:r>
      <w:r>
        <w:rPr>
          <w:rFonts w:hint="eastAsia" w:ascii="Times New Roman" w:eastAsia="仿宋_GB2312"/>
          <w:spacing w:val="-4"/>
          <w:szCs w:val="84"/>
          <w:highlight w:val="none"/>
          <w:lang w:eastAsia="zh-CN"/>
        </w:rPr>
        <w:t>市</w:t>
      </w:r>
      <w:r>
        <w:rPr>
          <w:rFonts w:hint="eastAsia" w:ascii="Times New Roman" w:eastAsia="仿宋"/>
          <w:spacing w:val="-4"/>
          <w:sz w:val="28"/>
          <w:szCs w:val="28"/>
          <w:highlight w:val="none"/>
        </w:rPr>
        <w:t>发展改革委，</w:t>
      </w:r>
      <w:r>
        <w:rPr>
          <w:rFonts w:hint="eastAsia" w:ascii="Times New Roman" w:eastAsia="仿宋"/>
          <w:spacing w:val="-4"/>
          <w:sz w:val="28"/>
          <w:szCs w:val="28"/>
          <w:highlight w:val="none"/>
          <w:lang w:eastAsia="zh-CN"/>
        </w:rPr>
        <w:t>区</w:t>
      </w:r>
      <w:r>
        <w:rPr>
          <w:rFonts w:hint="eastAsia" w:ascii="Times New Roman" w:eastAsia="仿宋"/>
          <w:spacing w:val="-4"/>
          <w:sz w:val="28"/>
          <w:szCs w:val="28"/>
          <w:highlight w:val="none"/>
        </w:rPr>
        <w:t>纪委监委机关，</w:t>
      </w:r>
      <w:r>
        <w:rPr>
          <w:rFonts w:hint="eastAsia" w:ascii="Times New Roman" w:eastAsia="仿宋"/>
          <w:spacing w:val="-4"/>
          <w:sz w:val="28"/>
          <w:szCs w:val="28"/>
          <w:highlight w:val="none"/>
          <w:lang w:eastAsia="zh-CN"/>
        </w:rPr>
        <w:t>区</w:t>
      </w:r>
      <w:r>
        <w:rPr>
          <w:rFonts w:hint="eastAsia" w:ascii="Times New Roman" w:eastAsia="仿宋"/>
          <w:spacing w:val="-4"/>
          <w:sz w:val="28"/>
          <w:szCs w:val="28"/>
          <w:highlight w:val="none"/>
        </w:rPr>
        <w:t>财政局</w:t>
      </w:r>
    </w:p>
    <w:p>
      <w:pPr>
        <w:spacing w:line="570" w:lineRule="exact"/>
        <w:ind w:left="316" w:leftChars="100" w:right="316" w:rightChars="100" w:firstLine="0"/>
        <w:rPr>
          <w:rFonts w:ascii="Times New Roman" w:eastAsia="仿宋"/>
          <w:spacing w:val="-4"/>
          <w:sz w:val="28"/>
          <w:szCs w:val="28"/>
          <w:highlight w:val="none"/>
        </w:rPr>
      </w:pPr>
      <w:r>
        <w:rPr>
          <w:rFonts w:ascii="Times New Roman" w:eastAsia="方正小标宋_GBK"/>
          <w:sz w:val="44"/>
          <w:szCs w:val="44"/>
          <w:highlight w:val="none"/>
        </w:rPr>
        <w:pict>
          <v:shape id="_x0000_s1034" o:spid="_x0000_s1034" o:spt="32" type="#_x0000_t32" style="position:absolute;left:0pt;margin-left:0.1pt;margin-top:30.75pt;height:0.1pt;width:442.2pt;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">
            <v:path arrowok="t"/>
            <v:fill on="f" focussize="0,0"/>
            <v:stroke weight="1pt"/>
            <v:imagedata o:title=""/>
            <o:lock v:ext="edit"/>
          </v:shape>
        </w:pict>
      </w:r>
      <w:r>
        <w:rPr>
          <w:rFonts w:ascii="Times New Roman" w:eastAsia="仿宋"/>
          <w:spacing w:val="-4"/>
          <w:sz w:val="28"/>
          <w:szCs w:val="28"/>
          <w:highlight w:val="none"/>
        </w:rPr>
        <w:t>淮安市</w:t>
      </w:r>
      <w:r>
        <w:rPr>
          <w:rFonts w:hint="eastAsia" w:ascii="Times New Roman" w:eastAsia="仿宋"/>
          <w:spacing w:val="-4"/>
          <w:sz w:val="28"/>
          <w:szCs w:val="28"/>
          <w:highlight w:val="none"/>
          <w:lang w:eastAsia="zh-CN"/>
        </w:rPr>
        <w:t>淮安区</w:t>
      </w:r>
      <w:r>
        <w:rPr>
          <w:rFonts w:ascii="Times New Roman" w:eastAsia="仿宋"/>
          <w:spacing w:val="-4"/>
          <w:sz w:val="28"/>
          <w:szCs w:val="28"/>
          <w:highlight w:val="none"/>
        </w:rPr>
        <w:t xml:space="preserve">发展和改革委员会 </w:t>
      </w:r>
      <w:r>
        <w:rPr>
          <w:rFonts w:hint="eastAsia" w:ascii="Times New Roman" w:eastAsia="仿宋"/>
          <w:spacing w:val="-4"/>
          <w:sz w:val="28"/>
          <w:szCs w:val="28"/>
          <w:highlight w:val="none"/>
          <w:lang w:val="en-US" w:eastAsia="zh-CN"/>
        </w:rPr>
        <w:t xml:space="preserve">      </w:t>
      </w:r>
      <w:r>
        <w:rPr>
          <w:rFonts w:ascii="Times New Roman" w:eastAsia="仿宋"/>
          <w:spacing w:val="-4"/>
          <w:sz w:val="28"/>
          <w:szCs w:val="28"/>
          <w:highlight w:val="none"/>
        </w:rPr>
        <w:t xml:space="preserve">      2025年</w:t>
      </w:r>
      <w:r>
        <w:rPr>
          <w:rFonts w:hint="eastAsia" w:ascii="Times New Roman" w:eastAsia="仿宋"/>
          <w:spacing w:val="-4"/>
          <w:sz w:val="28"/>
          <w:szCs w:val="28"/>
          <w:highlight w:val="none"/>
        </w:rPr>
        <w:t xml:space="preserve">  </w:t>
      </w:r>
      <w:r>
        <w:rPr>
          <w:rFonts w:ascii="Times New Roman" w:eastAsia="仿宋"/>
          <w:spacing w:val="-4"/>
          <w:sz w:val="28"/>
          <w:szCs w:val="28"/>
          <w:highlight w:val="none"/>
        </w:rPr>
        <w:t>月</w:t>
      </w:r>
      <w:r>
        <w:rPr>
          <w:rFonts w:hint="eastAsia" w:ascii="Times New Roman" w:eastAsia="仿宋"/>
          <w:spacing w:val="-4"/>
          <w:sz w:val="28"/>
          <w:szCs w:val="28"/>
          <w:highlight w:val="none"/>
        </w:rPr>
        <w:t xml:space="preserve">  </w:t>
      </w:r>
      <w:r>
        <w:rPr>
          <w:rFonts w:ascii="Times New Roman" w:eastAsia="仿宋"/>
          <w:spacing w:val="-4"/>
          <w:sz w:val="28"/>
          <w:szCs w:val="28"/>
          <w:highlight w:val="none"/>
        </w:rPr>
        <w:t>日印发</w:t>
      </w:r>
    </w:p>
    <w:p>
      <w:pPr>
        <w:adjustRightInd w:val="0"/>
        <w:spacing w:line="600" w:lineRule="exact"/>
        <w:jc w:val="center"/>
        <w:rPr>
          <w:rFonts w:ascii="Times New Roman" w:eastAsia="方正小标宋_GBK"/>
          <w:sz w:val="44"/>
          <w:szCs w:val="44"/>
          <w:highlight w:val="none"/>
        </w:rPr>
        <w:sectPr>
          <w:footerReference r:id="rId5" w:type="default"/>
          <w:footerReference r:id="rId6" w:type="even"/>
          <w:type w:val="continuous"/>
          <w:pgSz w:w="11906" w:h="16838"/>
          <w:pgMar w:top="1871" w:right="1474" w:bottom="1871" w:left="1588" w:header="851" w:footer="1304" w:gutter="0"/>
          <w:paperSrc w:first="15" w:other="15"/>
          <w:pgNumType w:start="1"/>
          <w:cols w:space="720" w:num="1"/>
          <w:docGrid w:type="linesAndChars" w:linePitch="590" w:charSpace="-1024"/>
        </w:sectPr>
      </w:pPr>
    </w:p>
    <w:p>
      <w:pPr>
        <w:spacing w:line="560" w:lineRule="exact"/>
        <w:ind w:firstLine="0"/>
        <w:rPr>
          <w:rFonts w:hint="default" w:ascii="Times New Roman" w:hAnsi="黑体" w:eastAsia="黑体"/>
          <w:color w:val="000000" w:themeColor="text1"/>
          <w:szCs w:val="32"/>
          <w:highlight w:val="none"/>
          <w:lang w:val="en-US" w:eastAsia="zh-CN"/>
        </w:rPr>
      </w:pPr>
      <w:r>
        <w:rPr>
          <w:rFonts w:hint="eastAsia" w:ascii="Times New Roman" w:hAnsi="黑体" w:eastAsia="黑体"/>
          <w:color w:val="000000" w:themeColor="text1"/>
          <w:szCs w:val="32"/>
          <w:highlight w:val="none"/>
          <w:lang w:eastAsia="zh-CN"/>
        </w:rPr>
        <w:t>附件</w:t>
      </w:r>
      <w:r>
        <w:rPr>
          <w:rFonts w:hint="eastAsia" w:ascii="Times New Roman" w:hAnsi="黑体" w:eastAsia="黑体"/>
          <w:color w:val="000000" w:themeColor="text1"/>
          <w:szCs w:val="32"/>
          <w:highlight w:val="none"/>
          <w:lang w:val="en-US" w:eastAsia="zh-CN"/>
        </w:rPr>
        <w:t>1</w:t>
      </w:r>
    </w:p>
    <w:p>
      <w:pPr>
        <w:spacing w:line="660" w:lineRule="exact"/>
        <w:ind w:firstLine="0"/>
        <w:jc w:val="center"/>
        <w:rPr>
          <w:rFonts w:ascii="方正小标宋_GBK" w:hAnsi="微软雅黑" w:eastAsia="方正小标宋_GBK" w:cs="宋体"/>
          <w:snapToGrid/>
          <w:color w:val="000000" w:themeColor="text1"/>
          <w:sz w:val="44"/>
          <w:szCs w:val="44"/>
          <w:highlight w:val="none"/>
        </w:rPr>
      </w:pPr>
      <w:r>
        <w:rPr>
          <w:rFonts w:hint="eastAsia" w:ascii="方正小标宋_GBK" w:hAnsi="微软雅黑" w:eastAsia="方正小标宋_GBK" w:cs="宋体"/>
          <w:snapToGrid/>
          <w:color w:val="000000" w:themeColor="text1"/>
          <w:sz w:val="44"/>
          <w:szCs w:val="44"/>
          <w:highlight w:val="none"/>
        </w:rPr>
        <w:t>淮安</w:t>
      </w:r>
      <w:r>
        <w:rPr>
          <w:rFonts w:hint="eastAsia" w:ascii="方正小标宋_GBK" w:hAnsi="微软雅黑" w:eastAsia="方正小标宋_GBK" w:cs="宋体"/>
          <w:snapToGrid/>
          <w:color w:val="000000" w:themeColor="text1"/>
          <w:sz w:val="44"/>
          <w:szCs w:val="44"/>
          <w:highlight w:val="none"/>
          <w:lang w:eastAsia="zh-CN"/>
        </w:rPr>
        <w:t>区</w:t>
      </w:r>
      <w:r>
        <w:rPr>
          <w:rFonts w:hint="eastAsia" w:ascii="方正小标宋_GBK" w:hAnsi="微软雅黑" w:eastAsia="方正小标宋_GBK" w:cs="宋体"/>
          <w:snapToGrid/>
          <w:color w:val="000000" w:themeColor="text1"/>
          <w:sz w:val="44"/>
          <w:szCs w:val="44"/>
          <w:highlight w:val="none"/>
        </w:rPr>
        <w:t>级殡葬基本服务项目收费定调价方案（征求意见稿）</w:t>
      </w:r>
    </w:p>
    <w:tbl>
      <w:tblPr>
        <w:tblStyle w:val="16"/>
        <w:tblpPr w:leftFromText="180" w:rightFromText="180" w:vertAnchor="text" w:horzAnchor="margin" w:tblpY="171"/>
        <w:tblW w:w="503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70"/>
        <w:gridCol w:w="1285"/>
        <w:gridCol w:w="3832"/>
        <w:gridCol w:w="857"/>
        <w:gridCol w:w="1418"/>
        <w:gridCol w:w="4139"/>
        <w:gridCol w:w="1569"/>
        <w:gridCol w:w="17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84" w:type="pct"/>
            <w:tcBorders>
              <w:left w:val="single" w:color="000000" w:themeColor="text1" w:sz="4" w:space="0"/>
              <w:right w:val="single" w:color="000000" w:themeColor="text1" w:sz="4" w:space="0"/>
            </w:tcBorders>
            <w:vAlign w:val="center"/>
          </w:tcPr>
          <w:p>
            <w:pPr>
              <w:spacing w:line="296" w:lineRule="exact"/>
              <w:ind w:firstLine="0"/>
              <w:jc w:val="center"/>
              <w:rPr>
                <w:rFonts w:hint="eastAsia" w:ascii="方正楷体_GB2312" w:hAnsi="方正楷体_GB2312" w:eastAsia="方正楷体_GB2312" w:cs="方正楷体_GB2312"/>
                <w:b/>
                <w:bCs/>
                <w:snapToGrid/>
                <w:color w:val="auto"/>
                <w:sz w:val="24"/>
                <w:szCs w:val="24"/>
                <w:highlight w:val="none"/>
              </w:rPr>
            </w:pPr>
            <w:r>
              <w:rPr>
                <w:rFonts w:hint="eastAsia" w:ascii="方正楷体_GB2312" w:hAnsi="方正楷体_GB2312" w:eastAsia="方正楷体_GB2312" w:cs="方正楷体_GB2312"/>
                <w:b/>
                <w:bCs/>
                <w:snapToGrid/>
                <w:color w:val="auto"/>
                <w:sz w:val="24"/>
                <w:szCs w:val="24"/>
                <w:highlight w:val="none"/>
              </w:rPr>
              <w:t>序号</w:t>
            </w:r>
          </w:p>
        </w:tc>
        <w:tc>
          <w:tcPr>
            <w:tcW w:w="415"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eastAsia" w:ascii="方正楷体_GB2312" w:hAnsi="方正楷体_GB2312" w:eastAsia="方正楷体_GB2312" w:cs="方正楷体_GB2312"/>
                <w:b/>
                <w:bCs/>
                <w:snapToGrid/>
                <w:color w:val="auto"/>
                <w:sz w:val="24"/>
                <w:szCs w:val="24"/>
                <w:highlight w:val="none"/>
              </w:rPr>
            </w:pPr>
            <w:r>
              <w:rPr>
                <w:rFonts w:hint="eastAsia" w:ascii="方正楷体_GB2312" w:hAnsi="方正楷体_GB2312" w:eastAsia="方正楷体_GB2312" w:cs="方正楷体_GB2312"/>
                <w:b/>
                <w:bCs/>
                <w:snapToGrid/>
                <w:color w:val="auto"/>
                <w:sz w:val="24"/>
                <w:szCs w:val="24"/>
                <w:highlight w:val="none"/>
              </w:rPr>
              <w:t>服务</w:t>
            </w:r>
          </w:p>
          <w:p>
            <w:pPr>
              <w:spacing w:line="296" w:lineRule="exact"/>
              <w:ind w:firstLine="0"/>
              <w:jc w:val="center"/>
              <w:rPr>
                <w:rFonts w:hint="eastAsia" w:ascii="方正楷体_GB2312" w:hAnsi="方正楷体_GB2312" w:eastAsia="方正楷体_GB2312" w:cs="方正楷体_GB2312"/>
                <w:b/>
                <w:bCs/>
                <w:snapToGrid/>
                <w:color w:val="auto"/>
                <w:sz w:val="24"/>
                <w:szCs w:val="24"/>
                <w:highlight w:val="none"/>
              </w:rPr>
            </w:pPr>
            <w:r>
              <w:rPr>
                <w:rFonts w:hint="eastAsia" w:ascii="方正楷体_GB2312" w:hAnsi="方正楷体_GB2312" w:eastAsia="方正楷体_GB2312" w:cs="方正楷体_GB2312"/>
                <w:b/>
                <w:bCs/>
                <w:snapToGrid/>
                <w:color w:val="auto"/>
                <w:sz w:val="24"/>
                <w:szCs w:val="24"/>
                <w:highlight w:val="none"/>
              </w:rPr>
              <w:t>项目</w:t>
            </w:r>
          </w:p>
        </w:tc>
        <w:tc>
          <w:tcPr>
            <w:tcW w:w="1238"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eastAsia" w:ascii="方正楷体_GB2312" w:hAnsi="方正楷体_GB2312" w:eastAsia="方正楷体_GB2312" w:cs="方正楷体_GB2312"/>
                <w:b/>
                <w:bCs/>
                <w:snapToGrid/>
                <w:color w:val="auto"/>
                <w:sz w:val="24"/>
                <w:szCs w:val="24"/>
                <w:highlight w:val="none"/>
              </w:rPr>
            </w:pPr>
            <w:r>
              <w:rPr>
                <w:rFonts w:hint="eastAsia" w:ascii="方正楷体_GB2312" w:hAnsi="方正楷体_GB2312" w:eastAsia="方正楷体_GB2312" w:cs="方正楷体_GB2312"/>
                <w:b/>
                <w:bCs/>
                <w:snapToGrid/>
                <w:color w:val="auto"/>
                <w:sz w:val="24"/>
                <w:szCs w:val="24"/>
                <w:highlight w:val="none"/>
              </w:rPr>
              <w:t>服务内容</w:t>
            </w:r>
          </w:p>
        </w:tc>
        <w:tc>
          <w:tcPr>
            <w:tcW w:w="277" w:type="pct"/>
            <w:tcBorders>
              <w:left w:val="single" w:color="000000" w:themeColor="text1" w:sz="4" w:space="0"/>
              <w:right w:val="single" w:color="000000" w:themeColor="text1" w:sz="4" w:space="0"/>
            </w:tcBorders>
            <w:vAlign w:val="center"/>
          </w:tcPr>
          <w:p>
            <w:pPr>
              <w:spacing w:line="296" w:lineRule="exact"/>
              <w:ind w:firstLine="0"/>
              <w:jc w:val="center"/>
              <w:rPr>
                <w:rFonts w:hint="eastAsia" w:ascii="方正楷体_GB2312" w:hAnsi="方正楷体_GB2312" w:eastAsia="方正楷体_GB2312" w:cs="方正楷体_GB2312"/>
                <w:b/>
                <w:bCs/>
                <w:snapToGrid/>
                <w:color w:val="auto"/>
                <w:sz w:val="24"/>
                <w:szCs w:val="24"/>
                <w:highlight w:val="none"/>
                <w:lang w:eastAsia="zh-CN"/>
              </w:rPr>
            </w:pPr>
            <w:r>
              <w:rPr>
                <w:rFonts w:hint="eastAsia" w:ascii="方正楷体_GB2312" w:hAnsi="方正楷体_GB2312" w:eastAsia="方正楷体_GB2312" w:cs="方正楷体_GB2312"/>
                <w:b/>
                <w:bCs/>
                <w:snapToGrid/>
                <w:color w:val="auto"/>
                <w:sz w:val="24"/>
                <w:szCs w:val="24"/>
                <w:highlight w:val="none"/>
                <w:lang w:eastAsia="zh-CN"/>
              </w:rPr>
              <w:t>计费单位</w:t>
            </w:r>
          </w:p>
        </w:tc>
        <w:tc>
          <w:tcPr>
            <w:tcW w:w="458" w:type="pct"/>
            <w:tcBorders>
              <w:left w:val="single" w:color="000000" w:themeColor="text1" w:sz="4" w:space="0"/>
              <w:right w:val="single" w:color="000000" w:themeColor="text1" w:sz="4" w:space="0"/>
            </w:tcBorders>
            <w:vAlign w:val="center"/>
          </w:tcPr>
          <w:p>
            <w:pPr>
              <w:spacing w:line="296" w:lineRule="exact"/>
              <w:ind w:firstLine="0"/>
              <w:jc w:val="center"/>
              <w:rPr>
                <w:rFonts w:hint="eastAsia" w:ascii="方正楷体_GB2312" w:hAnsi="方正楷体_GB2312" w:eastAsia="方正楷体_GB2312" w:cs="方正楷体_GB2312"/>
                <w:b/>
                <w:bCs/>
                <w:snapToGrid/>
                <w:color w:val="auto"/>
                <w:sz w:val="24"/>
                <w:szCs w:val="24"/>
                <w:highlight w:val="none"/>
                <w:lang w:eastAsia="zh-CN"/>
              </w:rPr>
            </w:pPr>
            <w:r>
              <w:rPr>
                <w:rFonts w:hint="eastAsia" w:ascii="方正楷体_GB2312" w:hAnsi="方正楷体_GB2312" w:eastAsia="方正楷体_GB2312" w:cs="方正楷体_GB2312"/>
                <w:b/>
                <w:bCs/>
                <w:snapToGrid/>
                <w:color w:val="auto"/>
                <w:sz w:val="24"/>
                <w:szCs w:val="24"/>
                <w:highlight w:val="none"/>
                <w:lang w:eastAsia="zh-CN"/>
              </w:rPr>
              <w:t>价格管理</w:t>
            </w:r>
          </w:p>
          <w:p>
            <w:pPr>
              <w:spacing w:line="296" w:lineRule="exact"/>
              <w:ind w:firstLine="0"/>
              <w:jc w:val="center"/>
              <w:rPr>
                <w:rFonts w:hint="eastAsia" w:ascii="方正楷体_GB2312" w:hAnsi="方正楷体_GB2312" w:eastAsia="方正楷体_GB2312" w:cs="方正楷体_GB2312"/>
                <w:b/>
                <w:bCs/>
                <w:snapToGrid/>
                <w:color w:val="auto"/>
                <w:sz w:val="24"/>
                <w:szCs w:val="24"/>
                <w:highlight w:val="none"/>
                <w:lang w:eastAsia="zh-CN"/>
              </w:rPr>
            </w:pPr>
            <w:r>
              <w:rPr>
                <w:rFonts w:hint="eastAsia" w:ascii="方正楷体_GB2312" w:hAnsi="方正楷体_GB2312" w:eastAsia="方正楷体_GB2312" w:cs="方正楷体_GB2312"/>
                <w:b/>
                <w:bCs/>
                <w:snapToGrid/>
                <w:color w:val="auto"/>
                <w:sz w:val="24"/>
                <w:szCs w:val="24"/>
                <w:highlight w:val="none"/>
                <w:lang w:eastAsia="zh-CN"/>
              </w:rPr>
              <w:t>形式</w:t>
            </w:r>
          </w:p>
        </w:tc>
        <w:tc>
          <w:tcPr>
            <w:tcW w:w="1337" w:type="pct"/>
            <w:tcBorders>
              <w:left w:val="single" w:color="000000" w:themeColor="text1" w:sz="4" w:space="0"/>
              <w:right w:val="single" w:color="000000" w:themeColor="text1" w:sz="4" w:space="0"/>
            </w:tcBorders>
            <w:vAlign w:val="center"/>
          </w:tcPr>
          <w:p>
            <w:pPr>
              <w:spacing w:line="296" w:lineRule="exact"/>
              <w:ind w:firstLine="0"/>
              <w:jc w:val="center"/>
              <w:rPr>
                <w:rFonts w:hint="eastAsia" w:ascii="方正楷体_GB2312" w:hAnsi="方正楷体_GB2312" w:eastAsia="方正楷体_GB2312" w:cs="方正楷体_GB2312"/>
                <w:b/>
                <w:bCs/>
                <w:snapToGrid/>
                <w:color w:val="auto"/>
                <w:sz w:val="24"/>
                <w:szCs w:val="24"/>
                <w:highlight w:val="none"/>
                <w:lang w:val="en-US" w:eastAsia="zh-CN"/>
              </w:rPr>
            </w:pPr>
            <w:r>
              <w:rPr>
                <w:rFonts w:hint="eastAsia" w:ascii="方正楷体_GB2312" w:hAnsi="方正楷体_GB2312" w:eastAsia="方正楷体_GB2312" w:cs="方正楷体_GB2312"/>
                <w:b/>
                <w:bCs/>
                <w:snapToGrid/>
                <w:color w:val="auto"/>
                <w:sz w:val="24"/>
                <w:szCs w:val="24"/>
                <w:highlight w:val="none"/>
                <w:lang w:val="en-US" w:eastAsia="zh-CN"/>
              </w:rPr>
              <w:t>收费标准</w:t>
            </w:r>
          </w:p>
        </w:tc>
        <w:tc>
          <w:tcPr>
            <w:tcW w:w="507" w:type="pct"/>
            <w:tcBorders>
              <w:left w:val="single" w:color="000000" w:themeColor="text1" w:sz="4" w:space="0"/>
              <w:right w:val="single" w:color="000000" w:themeColor="text1" w:sz="4" w:space="0"/>
            </w:tcBorders>
            <w:vAlign w:val="center"/>
          </w:tcPr>
          <w:p>
            <w:pPr>
              <w:spacing w:line="296" w:lineRule="exact"/>
              <w:ind w:firstLine="0"/>
              <w:jc w:val="center"/>
              <w:rPr>
                <w:rFonts w:hint="eastAsia" w:ascii="方正楷体_GB2312" w:hAnsi="方正楷体_GB2312" w:eastAsia="方正楷体_GB2312" w:cs="方正楷体_GB2312"/>
                <w:b/>
                <w:bCs/>
                <w:snapToGrid/>
                <w:color w:val="auto"/>
                <w:sz w:val="24"/>
                <w:szCs w:val="24"/>
                <w:highlight w:val="none"/>
                <w:lang w:eastAsia="zh-CN"/>
              </w:rPr>
            </w:pPr>
            <w:r>
              <w:rPr>
                <w:rFonts w:hint="eastAsia" w:ascii="方正楷体_GB2312" w:hAnsi="方正楷体_GB2312" w:eastAsia="方正楷体_GB2312" w:cs="方正楷体_GB2312"/>
                <w:b/>
                <w:bCs/>
                <w:snapToGrid/>
                <w:color w:val="auto"/>
                <w:sz w:val="24"/>
                <w:szCs w:val="24"/>
                <w:highlight w:val="none"/>
                <w:lang w:eastAsia="zh-CN"/>
              </w:rPr>
              <w:t>惠民政策</w:t>
            </w:r>
          </w:p>
        </w:tc>
        <w:tc>
          <w:tcPr>
            <w:tcW w:w="581" w:type="pct"/>
            <w:tcBorders>
              <w:left w:val="single" w:color="000000" w:themeColor="text1" w:sz="4" w:space="0"/>
              <w:right w:val="single" w:color="000000" w:themeColor="text1" w:sz="4" w:space="0"/>
            </w:tcBorders>
            <w:vAlign w:val="center"/>
          </w:tcPr>
          <w:p>
            <w:pPr>
              <w:spacing w:line="296" w:lineRule="exact"/>
              <w:ind w:firstLine="0"/>
              <w:jc w:val="center"/>
              <w:rPr>
                <w:rFonts w:hint="eastAsia" w:ascii="方正楷体_GB2312" w:hAnsi="方正楷体_GB2312" w:eastAsia="方正楷体_GB2312" w:cs="方正楷体_GB2312"/>
                <w:b/>
                <w:bCs/>
                <w:snapToGrid/>
                <w:color w:val="auto"/>
                <w:sz w:val="24"/>
                <w:szCs w:val="24"/>
                <w:highlight w:val="none"/>
              </w:rPr>
            </w:pPr>
            <w:r>
              <w:rPr>
                <w:rFonts w:hint="eastAsia" w:ascii="方正楷体_GB2312" w:hAnsi="方正楷体_GB2312" w:eastAsia="方正楷体_GB2312" w:cs="方正楷体_GB2312"/>
                <w:b/>
                <w:bCs/>
                <w:snapToGrid/>
                <w:color w:val="auto"/>
                <w:sz w:val="24"/>
                <w:szCs w:val="24"/>
                <w:highlight w:val="none"/>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3" w:hRule="atLeast"/>
        </w:trPr>
        <w:tc>
          <w:tcPr>
            <w:tcW w:w="184"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1</w:t>
            </w:r>
          </w:p>
        </w:tc>
        <w:tc>
          <w:tcPr>
            <w:tcW w:w="415"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遗体接运</w:t>
            </w:r>
          </w:p>
        </w:tc>
        <w:tc>
          <w:tcPr>
            <w:tcW w:w="1238"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eastAsia="zh-CN"/>
              </w:rPr>
            </w:pPr>
            <w:r>
              <w:rPr>
                <w:rFonts w:ascii="Times New Roman" w:hAnsi="Times New Roman" w:eastAsia="仿宋_GB2312" w:cs="Times New Roman"/>
                <w:snapToGrid/>
                <w:color w:val="auto"/>
                <w:sz w:val="24"/>
                <w:szCs w:val="24"/>
                <w:highlight w:val="none"/>
              </w:rPr>
              <w:t>属地殡仪馆服务范围的正常（特殊）遗体接运。含遗体的收殓、抬尸、装卸、运输、接运消毒等</w:t>
            </w:r>
            <w:r>
              <w:rPr>
                <w:rFonts w:hint="eastAsia" w:ascii="Times New Roman" w:hAnsi="Times New Roman" w:eastAsia="仿宋_GB2312" w:cs="Times New Roman"/>
                <w:snapToGrid/>
                <w:color w:val="auto"/>
                <w:sz w:val="24"/>
                <w:szCs w:val="24"/>
                <w:highlight w:val="none"/>
                <w:lang w:eastAsia="zh-CN"/>
              </w:rPr>
              <w:t>服务</w:t>
            </w:r>
          </w:p>
        </w:tc>
        <w:tc>
          <w:tcPr>
            <w:tcW w:w="27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r>
              <w:rPr>
                <w:rFonts w:hint="eastAsia" w:ascii="Times New Roman" w:eastAsia="仿宋_GB2312" w:cs="Times New Roman"/>
                <w:snapToGrid/>
                <w:color w:val="auto"/>
                <w:sz w:val="24"/>
                <w:szCs w:val="24"/>
                <w:highlight w:val="none"/>
                <w:lang w:val="en-US" w:eastAsia="zh-CN"/>
              </w:rPr>
              <w:t>具</w:t>
            </w:r>
          </w:p>
        </w:tc>
        <w:tc>
          <w:tcPr>
            <w:tcW w:w="45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r>
              <w:rPr>
                <w:rFonts w:hint="eastAsia" w:ascii="Times New Roman" w:hAnsi="Times New Roman" w:eastAsia="仿宋_GB2312" w:cs="Times New Roman"/>
                <w:snapToGrid/>
                <w:color w:val="auto"/>
                <w:sz w:val="24"/>
                <w:szCs w:val="24"/>
                <w:highlight w:val="none"/>
                <w:lang w:val="en-US" w:eastAsia="zh-CN"/>
              </w:rPr>
              <w:t>政府指导价</w:t>
            </w:r>
          </w:p>
        </w:tc>
        <w:tc>
          <w:tcPr>
            <w:tcW w:w="1337"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eastAsia="zh-CN"/>
              </w:rPr>
            </w:pPr>
            <w:r>
              <w:rPr>
                <w:rFonts w:hint="eastAsia" w:ascii="Times New Roman" w:hAnsi="Times New Roman" w:eastAsia="仿宋_GB2312" w:cs="Times New Roman"/>
                <w:snapToGrid/>
                <w:color w:val="auto"/>
                <w:sz w:val="24"/>
                <w:szCs w:val="24"/>
                <w:highlight w:val="none"/>
                <w:lang w:val="en-US" w:eastAsia="zh-CN"/>
              </w:rPr>
              <w:t>200元/具（10公里以外每公里加收5元;加收楼层20元/层(电梯运送的免收)</w:t>
            </w:r>
          </w:p>
        </w:tc>
        <w:tc>
          <w:tcPr>
            <w:tcW w:w="507"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default" w:ascii="Times New Roman" w:hAnsi="Times New Roman" w:eastAsia="仿宋_GB2312" w:cs="Times New Roman"/>
                <w:snapToGrid/>
                <w:color w:val="auto"/>
                <w:sz w:val="24"/>
                <w:szCs w:val="24"/>
                <w:highlight w:val="none"/>
                <w:lang w:val="en-US" w:eastAsia="zh-CN"/>
              </w:rPr>
            </w:pPr>
            <w:r>
              <w:rPr>
                <w:rFonts w:hint="eastAsia" w:ascii="Times New Roman" w:eastAsia="仿宋_GB2312" w:cs="Times New Roman"/>
                <w:snapToGrid/>
                <w:color w:val="auto"/>
                <w:sz w:val="24"/>
                <w:szCs w:val="24"/>
                <w:highlight w:val="none"/>
                <w:lang w:val="en-US" w:eastAsia="zh-CN"/>
              </w:rPr>
              <w:t>是</w:t>
            </w:r>
          </w:p>
        </w:tc>
        <w:tc>
          <w:tcPr>
            <w:tcW w:w="581"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default" w:ascii="Times New Roman" w:hAnsi="Times New Roman" w:eastAsia="仿宋_GB2312" w:cs="Times New Roman"/>
                <w:snapToGrid/>
                <w:color w:val="auto"/>
                <w:sz w:val="24"/>
                <w:szCs w:val="24"/>
                <w:highlight w:val="none"/>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2" w:hRule="atLeast"/>
        </w:trPr>
        <w:tc>
          <w:tcPr>
            <w:tcW w:w="184" w:type="pct"/>
            <w:vMerge w:val="restar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2</w:t>
            </w:r>
          </w:p>
        </w:tc>
        <w:tc>
          <w:tcPr>
            <w:tcW w:w="415" w:type="pct"/>
            <w:vMerge w:val="restar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遗体存放</w:t>
            </w:r>
          </w:p>
        </w:tc>
        <w:tc>
          <w:tcPr>
            <w:tcW w:w="1238"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含正常（特殊）遗体的组合式（连体柜）冷藏、独立柜冷藏</w:t>
            </w:r>
          </w:p>
        </w:tc>
        <w:tc>
          <w:tcPr>
            <w:tcW w:w="277"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r>
              <w:rPr>
                <w:rFonts w:hint="eastAsia" w:ascii="Times New Roman" w:eastAsia="仿宋_GB2312" w:cs="Times New Roman"/>
                <w:snapToGrid/>
                <w:color w:val="auto"/>
                <w:sz w:val="24"/>
                <w:szCs w:val="24"/>
                <w:highlight w:val="none"/>
                <w:lang w:val="en-US" w:eastAsia="zh-CN"/>
              </w:rPr>
              <w:t>天</w:t>
            </w:r>
          </w:p>
        </w:tc>
        <w:tc>
          <w:tcPr>
            <w:tcW w:w="458"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r>
              <w:rPr>
                <w:rFonts w:hint="eastAsia" w:ascii="Times New Roman" w:hAnsi="Times New Roman" w:eastAsia="仿宋_GB2312" w:cs="Times New Roman"/>
                <w:snapToGrid/>
                <w:color w:val="auto"/>
                <w:sz w:val="24"/>
                <w:szCs w:val="24"/>
                <w:highlight w:val="none"/>
                <w:lang w:val="en-US" w:eastAsia="zh-CN"/>
              </w:rPr>
              <w:t>政府指导价</w:t>
            </w:r>
          </w:p>
        </w:tc>
        <w:tc>
          <w:tcPr>
            <w:tcW w:w="1337"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100元/天</w:t>
            </w:r>
            <w:r>
              <w:rPr>
                <w:rFonts w:hint="eastAsia" w:ascii="Times New Roman" w:hAnsi="Times New Roman" w:eastAsia="仿宋_GB2312" w:cs="Times New Roman"/>
                <w:snapToGrid/>
                <w:color w:val="auto"/>
                <w:sz w:val="24"/>
                <w:szCs w:val="24"/>
                <w:highlight w:val="none"/>
                <w:lang w:val="en-US" w:eastAsia="zh-CN"/>
              </w:rPr>
              <w:t>*</w:t>
            </w:r>
            <w:r>
              <w:rPr>
                <w:rFonts w:ascii="Times New Roman" w:hAnsi="Times New Roman" w:eastAsia="仿宋_GB2312" w:cs="Times New Roman"/>
                <w:snapToGrid/>
                <w:color w:val="auto"/>
                <w:sz w:val="24"/>
                <w:szCs w:val="24"/>
                <w:highlight w:val="none"/>
              </w:rPr>
              <w:t>具</w:t>
            </w:r>
          </w:p>
        </w:tc>
        <w:tc>
          <w:tcPr>
            <w:tcW w:w="507" w:type="pct"/>
            <w:vMerge w:val="restar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eastAsia="zh-CN"/>
              </w:rPr>
            </w:pPr>
            <w:r>
              <w:rPr>
                <w:rFonts w:hint="eastAsia" w:ascii="Times New Roman" w:eastAsia="仿宋_GB2312" w:cs="Times New Roman"/>
                <w:snapToGrid/>
                <w:color w:val="auto"/>
                <w:sz w:val="24"/>
                <w:szCs w:val="24"/>
                <w:highlight w:val="none"/>
                <w:lang w:eastAsia="zh-CN"/>
              </w:rPr>
              <w:t>是</w:t>
            </w:r>
          </w:p>
        </w:tc>
        <w:tc>
          <w:tcPr>
            <w:tcW w:w="581" w:type="pct"/>
            <w:vMerge w:val="restar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eastAsia="zh-CN"/>
              </w:rPr>
            </w:pPr>
            <w:r>
              <w:rPr>
                <w:rFonts w:hint="eastAsia" w:ascii="Times New Roman" w:hAnsi="Times New Roman" w:eastAsia="仿宋_GB2312" w:cs="Times New Roman"/>
                <w:snapToGrid/>
                <w:color w:val="auto"/>
                <w:sz w:val="24"/>
                <w:szCs w:val="24"/>
                <w:highlight w:val="none"/>
                <w:lang w:eastAsia="zh-CN"/>
              </w:rPr>
              <w:t>不足</w:t>
            </w:r>
            <w:r>
              <w:rPr>
                <w:rFonts w:hint="eastAsia" w:ascii="Times New Roman" w:hAnsi="Times New Roman" w:eastAsia="仿宋_GB2312" w:cs="Times New Roman"/>
                <w:snapToGrid/>
                <w:color w:val="auto"/>
                <w:sz w:val="24"/>
                <w:szCs w:val="24"/>
                <w:highlight w:val="none"/>
                <w:lang w:val="en-US" w:eastAsia="zh-CN"/>
              </w:rPr>
              <w:t>12小时按半天收费，不足24小时按一天收费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2" w:hRule="atLeast"/>
        </w:trPr>
        <w:tc>
          <w:tcPr>
            <w:tcW w:w="184" w:type="pct"/>
            <w:vMerge w:val="continue"/>
            <w:tcBorders>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c>
          <w:tcPr>
            <w:tcW w:w="415" w:type="pct"/>
            <w:vMerge w:val="continue"/>
            <w:tcBorders>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c>
          <w:tcPr>
            <w:tcW w:w="1238"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default" w:ascii="Times New Roman" w:hAnsi="Times New Roman" w:eastAsia="仿宋_GB2312" w:cs="Times New Roman"/>
                <w:snapToGrid/>
                <w:color w:val="auto"/>
                <w:sz w:val="24"/>
                <w:szCs w:val="24"/>
                <w:highlight w:val="none"/>
                <w:lang w:val="en-US" w:eastAsia="zh-CN"/>
              </w:rPr>
            </w:pPr>
            <w:r>
              <w:rPr>
                <w:rFonts w:hint="eastAsia" w:ascii="Times New Roman" w:hAnsi="Times New Roman" w:eastAsia="仿宋_GB2312" w:cs="Times New Roman"/>
                <w:snapToGrid/>
                <w:color w:val="auto"/>
                <w:sz w:val="24"/>
                <w:szCs w:val="24"/>
                <w:highlight w:val="none"/>
                <w:lang w:eastAsia="zh-CN"/>
              </w:rPr>
              <w:t>含正常（特殊）遗体的单体冰柜冷藏、独立存放空间。</w:t>
            </w:r>
          </w:p>
        </w:tc>
        <w:tc>
          <w:tcPr>
            <w:tcW w:w="277"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r>
              <w:rPr>
                <w:rFonts w:hint="eastAsia" w:ascii="Times New Roman" w:eastAsia="仿宋_GB2312" w:cs="Times New Roman"/>
                <w:snapToGrid/>
                <w:color w:val="auto"/>
                <w:sz w:val="24"/>
                <w:szCs w:val="24"/>
                <w:highlight w:val="none"/>
                <w:lang w:val="en-US" w:eastAsia="zh-CN"/>
              </w:rPr>
              <w:t>天</w:t>
            </w:r>
          </w:p>
        </w:tc>
        <w:tc>
          <w:tcPr>
            <w:tcW w:w="458"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r>
              <w:rPr>
                <w:rFonts w:hint="eastAsia" w:ascii="Times New Roman" w:hAnsi="Times New Roman" w:eastAsia="仿宋_GB2312" w:cs="Times New Roman"/>
                <w:snapToGrid/>
                <w:color w:val="auto"/>
                <w:sz w:val="24"/>
                <w:szCs w:val="24"/>
                <w:highlight w:val="none"/>
                <w:lang w:val="en-US" w:eastAsia="zh-CN"/>
              </w:rPr>
              <w:t>政府指导价</w:t>
            </w:r>
          </w:p>
        </w:tc>
        <w:tc>
          <w:tcPr>
            <w:tcW w:w="1337"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default" w:ascii="Times New Roman" w:hAnsi="Times New Roman" w:eastAsia="仿宋_GB2312" w:cs="Times New Roman"/>
                <w:snapToGrid/>
                <w:color w:val="auto"/>
                <w:sz w:val="24"/>
                <w:szCs w:val="24"/>
                <w:highlight w:val="none"/>
                <w:lang w:val="en-US" w:eastAsia="zh-CN"/>
              </w:rPr>
            </w:pPr>
            <w:r>
              <w:rPr>
                <w:rFonts w:hint="eastAsia" w:ascii="Times New Roman" w:hAnsi="Times New Roman" w:eastAsia="仿宋_GB2312" w:cs="Times New Roman"/>
                <w:snapToGrid/>
                <w:color w:val="auto"/>
                <w:sz w:val="24"/>
                <w:szCs w:val="24"/>
                <w:highlight w:val="none"/>
                <w:lang w:val="en-US" w:eastAsia="zh-CN"/>
              </w:rPr>
              <w:t>200</w:t>
            </w:r>
            <w:r>
              <w:rPr>
                <w:rFonts w:ascii="Times New Roman" w:hAnsi="Times New Roman" w:eastAsia="仿宋_GB2312" w:cs="Times New Roman"/>
                <w:snapToGrid/>
                <w:color w:val="auto"/>
                <w:sz w:val="24"/>
                <w:szCs w:val="24"/>
                <w:highlight w:val="none"/>
              </w:rPr>
              <w:t>元/天</w:t>
            </w:r>
            <w:r>
              <w:rPr>
                <w:rFonts w:hint="eastAsia" w:ascii="Times New Roman" w:hAnsi="Times New Roman" w:eastAsia="仿宋_GB2312" w:cs="Times New Roman"/>
                <w:snapToGrid/>
                <w:color w:val="auto"/>
                <w:sz w:val="24"/>
                <w:szCs w:val="24"/>
                <w:highlight w:val="none"/>
                <w:lang w:val="en-US" w:eastAsia="zh-CN"/>
              </w:rPr>
              <w:t>*</w:t>
            </w:r>
            <w:r>
              <w:rPr>
                <w:rFonts w:ascii="Times New Roman" w:hAnsi="Times New Roman" w:eastAsia="仿宋_GB2312" w:cs="Times New Roman"/>
                <w:snapToGrid/>
                <w:color w:val="auto"/>
                <w:sz w:val="24"/>
                <w:szCs w:val="24"/>
                <w:highlight w:val="none"/>
              </w:rPr>
              <w:t>具</w:t>
            </w:r>
          </w:p>
        </w:tc>
        <w:tc>
          <w:tcPr>
            <w:tcW w:w="507" w:type="pct"/>
            <w:vMerge w:val="continue"/>
            <w:tcBorders>
              <w:left w:val="single" w:color="000000" w:themeColor="text1" w:sz="4" w:space="0"/>
              <w:bottom w:val="single" w:color="auto"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c>
          <w:tcPr>
            <w:tcW w:w="581" w:type="pct"/>
            <w:vMerge w:val="continue"/>
            <w:tcBorders>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4" w:hRule="atLeast"/>
        </w:trPr>
        <w:tc>
          <w:tcPr>
            <w:tcW w:w="18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3</w:t>
            </w:r>
          </w:p>
        </w:tc>
        <w:tc>
          <w:tcPr>
            <w:tcW w:w="415"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穿（脱）衣</w:t>
            </w:r>
          </w:p>
        </w:tc>
        <w:tc>
          <w:tcPr>
            <w:tcW w:w="123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含擦身、脱衣、穿衣</w:t>
            </w:r>
          </w:p>
        </w:tc>
        <w:tc>
          <w:tcPr>
            <w:tcW w:w="27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r>
              <w:rPr>
                <w:rFonts w:hint="eastAsia" w:ascii="Times New Roman" w:eastAsia="仿宋_GB2312" w:cs="Times New Roman"/>
                <w:snapToGrid/>
                <w:color w:val="auto"/>
                <w:sz w:val="24"/>
                <w:szCs w:val="24"/>
                <w:highlight w:val="none"/>
                <w:lang w:val="en-US" w:eastAsia="zh-CN"/>
              </w:rPr>
              <w:t>具</w:t>
            </w:r>
          </w:p>
        </w:tc>
        <w:tc>
          <w:tcPr>
            <w:tcW w:w="45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rPr>
            </w:pPr>
            <w:r>
              <w:rPr>
                <w:rFonts w:hint="eastAsia" w:ascii="Times New Roman" w:hAnsi="Times New Roman" w:eastAsia="仿宋_GB2312" w:cs="Times New Roman"/>
                <w:snapToGrid/>
                <w:color w:val="auto"/>
                <w:sz w:val="24"/>
                <w:szCs w:val="24"/>
                <w:highlight w:val="none"/>
                <w:lang w:val="en-US" w:eastAsia="zh-CN"/>
              </w:rPr>
              <w:t>政府指导价</w:t>
            </w:r>
          </w:p>
        </w:tc>
        <w:tc>
          <w:tcPr>
            <w:tcW w:w="133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60元/具</w:t>
            </w:r>
          </w:p>
        </w:tc>
        <w:tc>
          <w:tcPr>
            <w:tcW w:w="507" w:type="pct"/>
            <w:tcBorders>
              <w:top w:val="single" w:color="auto" w:sz="4" w:space="0"/>
              <w:left w:val="single" w:color="000000" w:themeColor="text1" w:sz="4" w:space="0"/>
              <w:bottom w:val="single" w:color="auto"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eastAsia="zh-CN"/>
              </w:rPr>
            </w:pPr>
            <w:r>
              <w:rPr>
                <w:rFonts w:hint="eastAsia" w:ascii="Times New Roman" w:eastAsia="仿宋_GB2312" w:cs="Times New Roman"/>
                <w:snapToGrid/>
                <w:color w:val="auto"/>
                <w:sz w:val="24"/>
                <w:szCs w:val="24"/>
                <w:highlight w:val="none"/>
                <w:lang w:eastAsia="zh-CN"/>
              </w:rPr>
              <w:t>是</w:t>
            </w:r>
          </w:p>
        </w:tc>
        <w:tc>
          <w:tcPr>
            <w:tcW w:w="58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84"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4</w:t>
            </w:r>
          </w:p>
        </w:tc>
        <w:tc>
          <w:tcPr>
            <w:tcW w:w="415"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遗容整理</w:t>
            </w:r>
          </w:p>
        </w:tc>
        <w:tc>
          <w:tcPr>
            <w:tcW w:w="1238"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含脸部清洗，敷干；嘴巴、眼帘整合复位；眼眶，睫毛、脸腮修饰、面部上粉、嘴唇描色，整理衣装、头发、消毒等服务</w:t>
            </w:r>
          </w:p>
        </w:tc>
        <w:tc>
          <w:tcPr>
            <w:tcW w:w="277"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r>
              <w:rPr>
                <w:rFonts w:hint="eastAsia" w:ascii="Times New Roman" w:eastAsia="仿宋_GB2312" w:cs="Times New Roman"/>
                <w:snapToGrid/>
                <w:color w:val="auto"/>
                <w:sz w:val="24"/>
                <w:szCs w:val="24"/>
                <w:highlight w:val="none"/>
                <w:lang w:val="en-US" w:eastAsia="zh-CN"/>
              </w:rPr>
              <w:t>具</w:t>
            </w:r>
          </w:p>
        </w:tc>
        <w:tc>
          <w:tcPr>
            <w:tcW w:w="458"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r>
              <w:rPr>
                <w:rFonts w:hint="eastAsia" w:ascii="Times New Roman" w:hAnsi="Times New Roman" w:eastAsia="仿宋_GB2312" w:cs="Times New Roman"/>
                <w:snapToGrid/>
                <w:color w:val="auto"/>
                <w:sz w:val="24"/>
                <w:szCs w:val="24"/>
                <w:highlight w:val="none"/>
                <w:lang w:val="en-US" w:eastAsia="zh-CN"/>
              </w:rPr>
              <w:t>政府指导价</w:t>
            </w:r>
          </w:p>
        </w:tc>
        <w:tc>
          <w:tcPr>
            <w:tcW w:w="1337"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80元/具</w:t>
            </w:r>
          </w:p>
        </w:tc>
        <w:tc>
          <w:tcPr>
            <w:tcW w:w="507" w:type="pct"/>
            <w:tcBorders>
              <w:top w:val="single" w:color="auto" w:sz="4" w:space="0"/>
              <w:left w:val="single" w:color="000000" w:themeColor="text1" w:sz="4" w:space="0"/>
              <w:bottom w:val="single" w:color="auto"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eastAsia="zh-CN"/>
              </w:rPr>
            </w:pPr>
            <w:r>
              <w:rPr>
                <w:rFonts w:hint="eastAsia" w:ascii="Times New Roman" w:eastAsia="仿宋_GB2312" w:cs="Times New Roman"/>
                <w:snapToGrid/>
                <w:color w:val="auto"/>
                <w:sz w:val="24"/>
                <w:szCs w:val="24"/>
                <w:highlight w:val="none"/>
                <w:lang w:eastAsia="zh-CN"/>
              </w:rPr>
              <w:t>是</w:t>
            </w:r>
          </w:p>
        </w:tc>
        <w:tc>
          <w:tcPr>
            <w:tcW w:w="581"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9" w:hRule="atLeast"/>
        </w:trPr>
        <w:tc>
          <w:tcPr>
            <w:tcW w:w="184" w:type="pct"/>
            <w:vMerge w:val="restar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5</w:t>
            </w:r>
          </w:p>
        </w:tc>
        <w:tc>
          <w:tcPr>
            <w:tcW w:w="415" w:type="pct"/>
            <w:vMerge w:val="restar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告别厅（守灵厅）租用</w:t>
            </w:r>
          </w:p>
        </w:tc>
        <w:tc>
          <w:tcPr>
            <w:tcW w:w="1238" w:type="pct"/>
            <w:vMerge w:val="restar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含殡葬礼仪引导服务、司仪主持、电子屏、门头花坊布置、厅内横幅、空调、电脑、音响、灯光、哀乐播放、布幔装饰、绢绸花圈、遗体抬运、遗体告别床、遗体瞻仰馆、挂遗像、跪垫、小白花、主持台等基本配置</w:t>
            </w:r>
          </w:p>
        </w:tc>
        <w:tc>
          <w:tcPr>
            <w:tcW w:w="277" w:type="pct"/>
            <w:vMerge w:val="restar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r>
              <w:rPr>
                <w:rFonts w:hint="eastAsia" w:ascii="Times New Roman" w:eastAsia="仿宋_GB2312" w:cs="Times New Roman"/>
                <w:snapToGrid/>
                <w:color w:val="auto"/>
                <w:sz w:val="24"/>
                <w:szCs w:val="24"/>
                <w:highlight w:val="none"/>
                <w:lang w:val="en-US" w:eastAsia="zh-CN"/>
              </w:rPr>
              <w:t>场次</w:t>
            </w:r>
          </w:p>
        </w:tc>
        <w:tc>
          <w:tcPr>
            <w:tcW w:w="458"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hint="eastAsia" w:ascii="Times New Roman" w:hAnsi="Times New Roman" w:eastAsia="仿宋_GB2312" w:cs="Times New Roman"/>
                <w:snapToGrid/>
                <w:color w:val="auto"/>
                <w:sz w:val="24"/>
                <w:szCs w:val="24"/>
                <w:highlight w:val="none"/>
                <w:lang w:val="en-US" w:eastAsia="zh-CN"/>
              </w:rPr>
              <w:t>政府指导价</w:t>
            </w:r>
          </w:p>
        </w:tc>
        <w:tc>
          <w:tcPr>
            <w:tcW w:w="1337"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小告别厅：</w:t>
            </w:r>
            <w:r>
              <w:rPr>
                <w:rFonts w:hint="eastAsia" w:ascii="Times New Roman" w:hAnsi="Times New Roman" w:eastAsia="仿宋_GB2312" w:cs="Times New Roman"/>
                <w:snapToGrid/>
                <w:color w:val="auto"/>
                <w:sz w:val="24"/>
                <w:szCs w:val="24"/>
                <w:highlight w:val="none"/>
                <w:lang w:val="en-US" w:eastAsia="zh-CN"/>
              </w:rPr>
              <w:t>300</w:t>
            </w:r>
            <w:r>
              <w:rPr>
                <w:rFonts w:ascii="Times New Roman" w:hAnsi="Times New Roman" w:eastAsia="仿宋_GB2312" w:cs="Times New Roman"/>
                <w:snapToGrid/>
                <w:color w:val="auto"/>
                <w:sz w:val="24"/>
                <w:szCs w:val="24"/>
                <w:highlight w:val="none"/>
              </w:rPr>
              <w:t>元/场次</w:t>
            </w:r>
          </w:p>
        </w:tc>
        <w:tc>
          <w:tcPr>
            <w:tcW w:w="507" w:type="pct"/>
            <w:vMerge w:val="restart"/>
            <w:tcBorders>
              <w:top w:val="single" w:color="auto" w:sz="4" w:space="0"/>
              <w:left w:val="single" w:color="000000" w:themeColor="text1" w:sz="4" w:space="0"/>
              <w:bottom w:val="single" w:color="auto" w:sz="4" w:space="0"/>
              <w:right w:val="single" w:color="000000" w:themeColor="text1" w:sz="4" w:space="0"/>
            </w:tcBorders>
            <w:vAlign w:val="center"/>
          </w:tcPr>
          <w:p>
            <w:pPr>
              <w:spacing w:line="296" w:lineRule="exact"/>
              <w:ind w:firstLine="0"/>
              <w:jc w:val="center"/>
              <w:rPr>
                <w:rFonts w:hint="default" w:ascii="Times New Roman" w:hAnsi="Times New Roman" w:eastAsia="仿宋_GB2312" w:cs="Times New Roman"/>
                <w:snapToGrid/>
                <w:color w:val="auto"/>
                <w:sz w:val="24"/>
                <w:szCs w:val="24"/>
                <w:highlight w:val="none"/>
                <w:lang w:val="en-US" w:eastAsia="zh-CN"/>
              </w:rPr>
            </w:pPr>
            <w:r>
              <w:rPr>
                <w:rFonts w:hint="eastAsia" w:ascii="Times New Roman" w:eastAsia="仿宋_GB2312" w:cs="Times New Roman"/>
                <w:snapToGrid/>
                <w:color w:val="auto"/>
                <w:sz w:val="24"/>
                <w:szCs w:val="24"/>
                <w:highlight w:val="none"/>
                <w:lang w:eastAsia="zh-CN"/>
              </w:rPr>
              <w:t>是</w:t>
            </w:r>
          </w:p>
        </w:tc>
        <w:tc>
          <w:tcPr>
            <w:tcW w:w="581" w:type="pct"/>
            <w:vMerge w:val="restar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default" w:ascii="Times New Roman" w:hAnsi="Times New Roman" w:eastAsia="仿宋_GB2312" w:cs="Times New Roman"/>
                <w:snapToGrid/>
                <w:color w:val="auto"/>
                <w:sz w:val="24"/>
                <w:szCs w:val="24"/>
                <w:highlight w:val="none"/>
                <w:lang w:val="en-US" w:eastAsia="zh-CN"/>
              </w:rPr>
            </w:pPr>
            <w:r>
              <w:rPr>
                <w:rFonts w:hint="eastAsia" w:ascii="Times New Roman" w:hAnsi="Times New Roman" w:eastAsia="仿宋_GB2312" w:cs="Times New Roman"/>
                <w:snapToGrid/>
                <w:color w:val="auto"/>
                <w:sz w:val="24"/>
                <w:szCs w:val="24"/>
                <w:highlight w:val="none"/>
                <w:lang w:eastAsia="zh-CN"/>
              </w:rPr>
              <w:t>告别厅小、中、大面积分别为：</w:t>
            </w:r>
            <w:r>
              <w:rPr>
                <w:rFonts w:hint="eastAsia" w:ascii="Times New Roman" w:hAnsi="Times New Roman" w:eastAsia="仿宋_GB2312" w:cs="Times New Roman"/>
                <w:snapToGrid/>
                <w:color w:val="auto"/>
                <w:sz w:val="24"/>
                <w:szCs w:val="24"/>
                <w:highlight w:val="none"/>
                <w:lang w:val="en-US" w:eastAsia="zh-CN"/>
              </w:rPr>
              <w:t>80平方米、150平方米、600平方米；守灵室2层4间共200平方米。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atLeast"/>
        </w:trPr>
        <w:tc>
          <w:tcPr>
            <w:tcW w:w="184" w:type="pct"/>
            <w:vMerge w:val="continue"/>
            <w:tcBorders>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c>
          <w:tcPr>
            <w:tcW w:w="415" w:type="pct"/>
            <w:vMerge w:val="continue"/>
            <w:tcBorders>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c>
          <w:tcPr>
            <w:tcW w:w="1238" w:type="pct"/>
            <w:vMerge w:val="continue"/>
            <w:tcBorders>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c>
          <w:tcPr>
            <w:tcW w:w="277" w:type="pct"/>
            <w:vMerge w:val="continue"/>
            <w:tcBorders>
              <w:left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p>
        </w:tc>
        <w:tc>
          <w:tcPr>
            <w:tcW w:w="458" w:type="pct"/>
            <w:tcBorders>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hint="eastAsia" w:ascii="Times New Roman" w:hAnsi="Times New Roman" w:eastAsia="仿宋_GB2312" w:cs="Times New Roman"/>
                <w:snapToGrid/>
                <w:color w:val="auto"/>
                <w:sz w:val="24"/>
                <w:szCs w:val="24"/>
                <w:highlight w:val="none"/>
                <w:lang w:val="en-US" w:eastAsia="zh-CN"/>
              </w:rPr>
              <w:t>政府指导价</w:t>
            </w:r>
          </w:p>
        </w:tc>
        <w:tc>
          <w:tcPr>
            <w:tcW w:w="1337" w:type="pct"/>
            <w:tcBorders>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中告别厅：</w:t>
            </w:r>
            <w:r>
              <w:rPr>
                <w:rFonts w:hint="eastAsia" w:ascii="Times New Roman" w:hAnsi="Times New Roman" w:eastAsia="仿宋_GB2312" w:cs="Times New Roman"/>
                <w:snapToGrid/>
                <w:color w:val="auto"/>
                <w:sz w:val="24"/>
                <w:szCs w:val="24"/>
                <w:highlight w:val="none"/>
                <w:lang w:val="en-US" w:eastAsia="zh-CN"/>
              </w:rPr>
              <w:t>600</w:t>
            </w:r>
            <w:r>
              <w:rPr>
                <w:rFonts w:ascii="Times New Roman" w:hAnsi="Times New Roman" w:eastAsia="仿宋_GB2312" w:cs="Times New Roman"/>
                <w:snapToGrid/>
                <w:color w:val="auto"/>
                <w:sz w:val="24"/>
                <w:szCs w:val="24"/>
                <w:highlight w:val="none"/>
              </w:rPr>
              <w:t>元/场次</w:t>
            </w:r>
          </w:p>
        </w:tc>
        <w:tc>
          <w:tcPr>
            <w:tcW w:w="507" w:type="pct"/>
            <w:vMerge w:val="continue"/>
            <w:tcBorders>
              <w:top w:val="single" w:color="auto" w:sz="4" w:space="0"/>
              <w:left w:val="single" w:color="000000" w:themeColor="text1" w:sz="4" w:space="0"/>
              <w:bottom w:val="single" w:color="auto"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c>
          <w:tcPr>
            <w:tcW w:w="581" w:type="pct"/>
            <w:vMerge w:val="continue"/>
            <w:tcBorders>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9" w:hRule="atLeast"/>
        </w:trPr>
        <w:tc>
          <w:tcPr>
            <w:tcW w:w="184" w:type="pct"/>
            <w:vMerge w:val="continue"/>
            <w:tcBorders>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c>
          <w:tcPr>
            <w:tcW w:w="415" w:type="pct"/>
            <w:vMerge w:val="continue"/>
            <w:tcBorders>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c>
          <w:tcPr>
            <w:tcW w:w="1238" w:type="pct"/>
            <w:vMerge w:val="continue"/>
            <w:tcBorders>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c>
          <w:tcPr>
            <w:tcW w:w="277" w:type="pct"/>
            <w:vMerge w:val="continue"/>
            <w:tcBorders>
              <w:left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p>
        </w:tc>
        <w:tc>
          <w:tcPr>
            <w:tcW w:w="458" w:type="pct"/>
            <w:tcBorders>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hint="eastAsia" w:ascii="Times New Roman" w:hAnsi="Times New Roman" w:eastAsia="仿宋_GB2312" w:cs="Times New Roman"/>
                <w:snapToGrid/>
                <w:color w:val="auto"/>
                <w:sz w:val="24"/>
                <w:szCs w:val="24"/>
                <w:highlight w:val="none"/>
                <w:lang w:val="en-US" w:eastAsia="zh-CN"/>
              </w:rPr>
              <w:t>政府指导价</w:t>
            </w:r>
          </w:p>
        </w:tc>
        <w:tc>
          <w:tcPr>
            <w:tcW w:w="1337" w:type="pct"/>
            <w:tcBorders>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大告别厅：</w:t>
            </w:r>
            <w:r>
              <w:rPr>
                <w:rFonts w:hint="eastAsia" w:ascii="Times New Roman" w:hAnsi="Times New Roman" w:eastAsia="仿宋_GB2312" w:cs="Times New Roman"/>
                <w:snapToGrid/>
                <w:color w:val="auto"/>
                <w:sz w:val="24"/>
                <w:szCs w:val="24"/>
                <w:highlight w:val="none"/>
                <w:lang w:val="en-US" w:eastAsia="zh-CN"/>
              </w:rPr>
              <w:t>2000</w:t>
            </w:r>
            <w:r>
              <w:rPr>
                <w:rFonts w:ascii="Times New Roman" w:hAnsi="Times New Roman" w:eastAsia="仿宋_GB2312" w:cs="Times New Roman"/>
                <w:snapToGrid/>
                <w:color w:val="auto"/>
                <w:sz w:val="24"/>
                <w:szCs w:val="24"/>
                <w:highlight w:val="none"/>
              </w:rPr>
              <w:t>元/场次</w:t>
            </w:r>
          </w:p>
        </w:tc>
        <w:tc>
          <w:tcPr>
            <w:tcW w:w="507" w:type="pct"/>
            <w:vMerge w:val="continue"/>
            <w:tcBorders>
              <w:top w:val="single" w:color="auto" w:sz="4" w:space="0"/>
              <w:left w:val="single" w:color="000000" w:themeColor="text1" w:sz="4" w:space="0"/>
              <w:bottom w:val="single" w:color="auto"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c>
          <w:tcPr>
            <w:tcW w:w="581" w:type="pct"/>
            <w:vMerge w:val="continue"/>
            <w:tcBorders>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trPr>
        <w:tc>
          <w:tcPr>
            <w:tcW w:w="184" w:type="pct"/>
            <w:vMerge w:val="continue"/>
            <w:tcBorders>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c>
          <w:tcPr>
            <w:tcW w:w="415" w:type="pct"/>
            <w:vMerge w:val="continue"/>
            <w:tcBorders>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c>
          <w:tcPr>
            <w:tcW w:w="1238" w:type="pct"/>
            <w:tcBorders>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守灵厅：含住宿间、卫生间、会客室、空调、桌椅、饮水机、供桌等基本配置和用品</w:t>
            </w:r>
          </w:p>
        </w:tc>
        <w:tc>
          <w:tcPr>
            <w:tcW w:w="277" w:type="pct"/>
            <w:tcBorders>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r>
              <w:rPr>
                <w:rFonts w:hint="eastAsia" w:ascii="Times New Roman" w:eastAsia="仿宋_GB2312" w:cs="Times New Roman"/>
                <w:snapToGrid/>
                <w:color w:val="auto"/>
                <w:sz w:val="24"/>
                <w:szCs w:val="24"/>
                <w:highlight w:val="none"/>
                <w:lang w:val="en-US" w:eastAsia="zh-CN"/>
              </w:rPr>
              <w:t>天</w:t>
            </w:r>
          </w:p>
        </w:tc>
        <w:tc>
          <w:tcPr>
            <w:tcW w:w="458" w:type="pct"/>
            <w:tcBorders>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r>
              <w:rPr>
                <w:rFonts w:hint="eastAsia" w:ascii="Times New Roman" w:hAnsi="Times New Roman" w:eastAsia="仿宋_GB2312" w:cs="Times New Roman"/>
                <w:snapToGrid/>
                <w:color w:val="auto"/>
                <w:sz w:val="24"/>
                <w:szCs w:val="24"/>
                <w:highlight w:val="none"/>
                <w:lang w:val="en-US" w:eastAsia="zh-CN"/>
              </w:rPr>
              <w:t>政府指导价</w:t>
            </w:r>
          </w:p>
        </w:tc>
        <w:tc>
          <w:tcPr>
            <w:tcW w:w="1337" w:type="pct"/>
            <w:tcBorders>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eastAsia="zh-CN"/>
              </w:rPr>
            </w:pPr>
            <w:r>
              <w:rPr>
                <w:rFonts w:hint="eastAsia" w:ascii="Times New Roman" w:hAnsi="Times New Roman" w:eastAsia="仿宋_GB2312" w:cs="Times New Roman"/>
                <w:snapToGrid/>
                <w:color w:val="auto"/>
                <w:sz w:val="24"/>
                <w:szCs w:val="24"/>
                <w:highlight w:val="none"/>
                <w:lang w:eastAsia="zh-CN"/>
              </w:rPr>
              <w:t>守灵厅：</w:t>
            </w:r>
            <w:r>
              <w:rPr>
                <w:rFonts w:hint="eastAsia" w:ascii="Times New Roman" w:eastAsia="仿宋_GB2312" w:cs="Times New Roman"/>
                <w:snapToGrid/>
                <w:color w:val="auto"/>
                <w:sz w:val="24"/>
                <w:szCs w:val="24"/>
                <w:highlight w:val="none"/>
                <w:lang w:val="en-US" w:eastAsia="zh-CN"/>
              </w:rPr>
              <w:t>7</w:t>
            </w:r>
            <w:r>
              <w:rPr>
                <w:rFonts w:hint="eastAsia" w:ascii="Times New Roman" w:hAnsi="Times New Roman" w:eastAsia="仿宋_GB2312" w:cs="Times New Roman"/>
                <w:snapToGrid/>
                <w:color w:val="auto"/>
                <w:sz w:val="24"/>
                <w:szCs w:val="24"/>
                <w:highlight w:val="none"/>
                <w:lang w:val="en-US" w:eastAsia="zh-CN"/>
              </w:rPr>
              <w:t>00元/天</w:t>
            </w:r>
          </w:p>
        </w:tc>
        <w:tc>
          <w:tcPr>
            <w:tcW w:w="507" w:type="pct"/>
            <w:tcBorders>
              <w:top w:val="single" w:color="auto"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hint="default" w:ascii="Times New Roman" w:hAnsi="Times New Roman" w:eastAsia="仿宋_GB2312" w:cs="Times New Roman"/>
                <w:snapToGrid/>
                <w:color w:val="auto"/>
                <w:sz w:val="24"/>
                <w:szCs w:val="24"/>
                <w:highlight w:val="none"/>
                <w:lang w:val="en-US" w:eastAsia="zh-CN"/>
              </w:rPr>
            </w:pPr>
          </w:p>
        </w:tc>
        <w:tc>
          <w:tcPr>
            <w:tcW w:w="581" w:type="pct"/>
            <w:vMerge w:val="continue"/>
            <w:tcBorders>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2" w:hRule="atLeast"/>
        </w:trPr>
        <w:tc>
          <w:tcPr>
            <w:tcW w:w="184" w:type="pct"/>
            <w:vMerge w:val="restar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6</w:t>
            </w:r>
          </w:p>
        </w:tc>
        <w:tc>
          <w:tcPr>
            <w:tcW w:w="415" w:type="pct"/>
            <w:vMerge w:val="restar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遗体火化</w:t>
            </w:r>
          </w:p>
        </w:tc>
        <w:tc>
          <w:tcPr>
            <w:tcW w:w="1238" w:type="pct"/>
            <w:vMerge w:val="restar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含正常（特殊）遗体搬运 、确认、消毒（含车辆）、处理杂物、骨灰清理、置入火化炉、拣灰、装袋、装盒等火化全过程以及基本材质的骨灰袋、骨灰垫、耐高温火化骨灰识别牌等</w:t>
            </w:r>
          </w:p>
        </w:tc>
        <w:tc>
          <w:tcPr>
            <w:tcW w:w="277" w:type="pct"/>
            <w:vMerge w:val="restar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r>
              <w:rPr>
                <w:rFonts w:hint="eastAsia" w:ascii="Times New Roman" w:eastAsia="仿宋_GB2312" w:cs="Times New Roman"/>
                <w:snapToGrid/>
                <w:color w:val="auto"/>
                <w:sz w:val="24"/>
                <w:szCs w:val="24"/>
                <w:highlight w:val="none"/>
                <w:lang w:val="en-US" w:eastAsia="zh-CN"/>
              </w:rPr>
              <w:t>具</w:t>
            </w:r>
          </w:p>
        </w:tc>
        <w:tc>
          <w:tcPr>
            <w:tcW w:w="458"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hint="eastAsia" w:ascii="Times New Roman" w:hAnsi="Times New Roman" w:eastAsia="仿宋_GB2312" w:cs="Times New Roman"/>
                <w:snapToGrid/>
                <w:color w:val="auto"/>
                <w:sz w:val="24"/>
                <w:szCs w:val="24"/>
                <w:highlight w:val="none"/>
                <w:lang w:val="en-US" w:eastAsia="zh-CN"/>
              </w:rPr>
              <w:t>政府指导价</w:t>
            </w:r>
          </w:p>
        </w:tc>
        <w:tc>
          <w:tcPr>
            <w:tcW w:w="1337"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eastAsia="zh-CN"/>
              </w:rPr>
            </w:pPr>
            <w:r>
              <w:rPr>
                <w:rFonts w:hint="eastAsia" w:ascii="Times New Roman" w:hAnsi="Times New Roman" w:eastAsia="仿宋_GB2312" w:cs="Times New Roman"/>
                <w:snapToGrid/>
                <w:color w:val="auto"/>
                <w:sz w:val="24"/>
                <w:szCs w:val="24"/>
                <w:highlight w:val="none"/>
                <w:lang w:val="en-US" w:eastAsia="zh-CN"/>
              </w:rPr>
              <w:t>平板炉：475元/具</w:t>
            </w:r>
          </w:p>
        </w:tc>
        <w:tc>
          <w:tcPr>
            <w:tcW w:w="507" w:type="pct"/>
            <w:vMerge w:val="restar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default" w:ascii="Times New Roman" w:hAnsi="Times New Roman" w:eastAsia="仿宋_GB2312" w:cs="Times New Roman"/>
                <w:snapToGrid/>
                <w:color w:val="auto"/>
                <w:sz w:val="24"/>
                <w:szCs w:val="24"/>
                <w:highlight w:val="none"/>
                <w:lang w:val="en-US" w:eastAsia="zh-CN"/>
              </w:rPr>
            </w:pPr>
            <w:r>
              <w:rPr>
                <w:rFonts w:hint="eastAsia" w:ascii="Times New Roman" w:eastAsia="仿宋_GB2312" w:cs="Times New Roman"/>
                <w:snapToGrid/>
                <w:color w:val="auto"/>
                <w:sz w:val="24"/>
                <w:szCs w:val="24"/>
                <w:highlight w:val="none"/>
                <w:lang w:eastAsia="zh-CN"/>
              </w:rPr>
              <w:t>是</w:t>
            </w:r>
          </w:p>
        </w:tc>
        <w:tc>
          <w:tcPr>
            <w:tcW w:w="581" w:type="pct"/>
            <w:vMerge w:val="restar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殡葬礼仪引导服务、丧户</w:t>
            </w:r>
            <w:r>
              <w:rPr>
                <w:rFonts w:hint="eastAsia" w:ascii="Times New Roman" w:eastAsia="仿宋_GB2312" w:cs="Times New Roman"/>
                <w:snapToGrid/>
                <w:color w:val="auto"/>
                <w:sz w:val="24"/>
                <w:szCs w:val="24"/>
                <w:highlight w:val="none"/>
                <w:lang w:eastAsia="zh-CN"/>
              </w:rPr>
              <w:t>洽谈</w:t>
            </w:r>
            <w:r>
              <w:rPr>
                <w:rFonts w:ascii="Times New Roman" w:hAnsi="Times New Roman" w:eastAsia="仿宋_GB2312" w:cs="Times New Roman"/>
                <w:snapToGrid/>
                <w:color w:val="auto"/>
                <w:sz w:val="24"/>
                <w:szCs w:val="24"/>
                <w:highlight w:val="none"/>
              </w:rPr>
              <w:t>休息室、火化等候室、停车免费。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3" w:hRule="atLeast"/>
        </w:trPr>
        <w:tc>
          <w:tcPr>
            <w:tcW w:w="184" w:type="pct"/>
            <w:vMerge w:val="continue"/>
            <w:tcBorders>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c>
          <w:tcPr>
            <w:tcW w:w="415" w:type="pct"/>
            <w:vMerge w:val="continue"/>
            <w:tcBorders>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c>
          <w:tcPr>
            <w:tcW w:w="1238" w:type="pct"/>
            <w:vMerge w:val="continue"/>
            <w:tcBorders>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c>
          <w:tcPr>
            <w:tcW w:w="277" w:type="pct"/>
            <w:vMerge w:val="continue"/>
            <w:tcBorders>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p>
        </w:tc>
        <w:tc>
          <w:tcPr>
            <w:tcW w:w="458" w:type="pct"/>
            <w:tcBorders>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hint="eastAsia" w:ascii="Times New Roman" w:hAnsi="Times New Roman" w:eastAsia="仿宋_GB2312" w:cs="Times New Roman"/>
                <w:snapToGrid/>
                <w:color w:val="auto"/>
                <w:sz w:val="24"/>
                <w:szCs w:val="24"/>
                <w:highlight w:val="none"/>
                <w:lang w:val="en-US" w:eastAsia="zh-CN"/>
              </w:rPr>
              <w:t>政府指导价</w:t>
            </w:r>
          </w:p>
        </w:tc>
        <w:tc>
          <w:tcPr>
            <w:tcW w:w="1337" w:type="pct"/>
            <w:tcBorders>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hint="default" w:ascii="Times New Roman" w:hAnsi="Times New Roman" w:eastAsia="仿宋_GB2312" w:cs="Times New Roman"/>
                <w:snapToGrid/>
                <w:color w:val="auto"/>
                <w:sz w:val="24"/>
                <w:szCs w:val="24"/>
                <w:highlight w:val="none"/>
                <w:lang w:val="en-US" w:eastAsia="zh-CN"/>
              </w:rPr>
            </w:pPr>
            <w:r>
              <w:rPr>
                <w:rFonts w:hint="eastAsia" w:ascii="Times New Roman" w:hAnsi="Times New Roman" w:eastAsia="仿宋_GB2312" w:cs="Times New Roman"/>
                <w:snapToGrid/>
                <w:color w:val="auto"/>
                <w:sz w:val="24"/>
                <w:szCs w:val="24"/>
                <w:highlight w:val="none"/>
                <w:lang w:val="en-US" w:eastAsia="zh-CN"/>
              </w:rPr>
              <w:t>拣灰炉：830元/具</w:t>
            </w:r>
          </w:p>
        </w:tc>
        <w:tc>
          <w:tcPr>
            <w:tcW w:w="507" w:type="pct"/>
            <w:vMerge w:val="continue"/>
            <w:tcBorders>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c>
          <w:tcPr>
            <w:tcW w:w="581" w:type="pct"/>
            <w:vMerge w:val="continue"/>
            <w:tcBorders>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99" w:hRule="atLeast"/>
        </w:trPr>
        <w:tc>
          <w:tcPr>
            <w:tcW w:w="18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7</w:t>
            </w:r>
          </w:p>
        </w:tc>
        <w:tc>
          <w:tcPr>
            <w:tcW w:w="415"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骨灰寄存</w:t>
            </w:r>
          </w:p>
        </w:tc>
        <w:tc>
          <w:tcPr>
            <w:tcW w:w="123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适用于殡仪馆、公益性公墓（骨灰堂）骨灰寄存，含骨灰（骨灰盒）保管服务</w:t>
            </w:r>
          </w:p>
        </w:tc>
        <w:tc>
          <w:tcPr>
            <w:tcW w:w="27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r>
              <w:rPr>
                <w:rFonts w:hint="eastAsia" w:ascii="Times New Roman" w:eastAsia="仿宋_GB2312" w:cs="Times New Roman"/>
                <w:snapToGrid/>
                <w:color w:val="auto"/>
                <w:sz w:val="24"/>
                <w:szCs w:val="24"/>
                <w:highlight w:val="none"/>
                <w:lang w:val="en-US" w:eastAsia="zh-CN"/>
              </w:rPr>
              <w:t>月</w:t>
            </w:r>
          </w:p>
        </w:tc>
        <w:tc>
          <w:tcPr>
            <w:tcW w:w="45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hint="eastAsia" w:ascii="Times New Roman" w:hAnsi="Times New Roman" w:eastAsia="仿宋_GB2312" w:cs="Times New Roman"/>
                <w:snapToGrid/>
                <w:color w:val="auto"/>
                <w:sz w:val="24"/>
                <w:szCs w:val="24"/>
                <w:highlight w:val="none"/>
                <w:lang w:val="en-US" w:eastAsia="zh-CN"/>
              </w:rPr>
              <w:t>政府指导价</w:t>
            </w:r>
          </w:p>
        </w:tc>
        <w:tc>
          <w:tcPr>
            <w:tcW w:w="133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hint="eastAsia" w:ascii="Times New Roman" w:hAnsi="Times New Roman" w:eastAsia="仿宋_GB2312" w:cs="Times New Roman"/>
                <w:snapToGrid/>
                <w:color w:val="auto"/>
                <w:sz w:val="24"/>
                <w:szCs w:val="24"/>
                <w:highlight w:val="none"/>
                <w:lang w:val="en-US" w:eastAsia="zh-CN"/>
              </w:rPr>
              <w:t>5</w:t>
            </w:r>
            <w:r>
              <w:rPr>
                <w:rFonts w:ascii="Times New Roman" w:hAnsi="Times New Roman" w:eastAsia="仿宋_GB2312" w:cs="Times New Roman"/>
                <w:snapToGrid/>
                <w:color w:val="auto"/>
                <w:sz w:val="24"/>
                <w:szCs w:val="24"/>
                <w:highlight w:val="none"/>
              </w:rPr>
              <w:t>元/月</w:t>
            </w:r>
          </w:p>
        </w:tc>
        <w:tc>
          <w:tcPr>
            <w:tcW w:w="50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hint="eastAsia" w:ascii="Times New Roman" w:eastAsia="仿宋_GB2312" w:cs="Times New Roman"/>
                <w:snapToGrid/>
                <w:color w:val="auto"/>
                <w:sz w:val="24"/>
                <w:szCs w:val="24"/>
                <w:highlight w:val="none"/>
                <w:lang w:eastAsia="zh-CN"/>
              </w:rPr>
              <w:t>是</w:t>
            </w:r>
          </w:p>
        </w:tc>
        <w:tc>
          <w:tcPr>
            <w:tcW w:w="58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68" w:hRule="atLeast"/>
        </w:trPr>
        <w:tc>
          <w:tcPr>
            <w:tcW w:w="184"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8</w:t>
            </w:r>
          </w:p>
        </w:tc>
        <w:tc>
          <w:tcPr>
            <w:tcW w:w="415"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公益性公墓墓（格）葬</w:t>
            </w:r>
          </w:p>
        </w:tc>
        <w:tc>
          <w:tcPr>
            <w:tcW w:w="1238"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墓（格）位建造，墓碑制作（刻字单穴</w:t>
            </w:r>
            <w:r>
              <w:rPr>
                <w:rFonts w:hint="eastAsia" w:ascii="Times New Roman" w:hAnsi="Times New Roman" w:eastAsia="仿宋_GB2312" w:cs="Times New Roman"/>
                <w:snapToGrid/>
                <w:color w:val="auto"/>
                <w:sz w:val="24"/>
                <w:szCs w:val="24"/>
                <w:highlight w:val="none"/>
                <w:lang w:val="en-US" w:eastAsia="zh-CN"/>
              </w:rPr>
              <w:t>5</w:t>
            </w:r>
            <w:r>
              <w:rPr>
                <w:rFonts w:ascii="Times New Roman" w:hAnsi="Times New Roman" w:eastAsia="仿宋_GB2312" w:cs="Times New Roman"/>
                <w:snapToGrid/>
                <w:color w:val="auto"/>
                <w:sz w:val="24"/>
                <w:szCs w:val="24"/>
                <w:highlight w:val="none"/>
              </w:rPr>
              <w:t>0字以内、双穴</w:t>
            </w:r>
            <w:r>
              <w:rPr>
                <w:rFonts w:hint="eastAsia" w:ascii="Times New Roman" w:hAnsi="Times New Roman" w:eastAsia="仿宋_GB2312" w:cs="Times New Roman"/>
                <w:snapToGrid/>
                <w:color w:val="auto"/>
                <w:sz w:val="24"/>
                <w:szCs w:val="24"/>
                <w:highlight w:val="none"/>
                <w:lang w:val="en-US" w:eastAsia="zh-CN"/>
              </w:rPr>
              <w:t>8</w:t>
            </w:r>
            <w:r>
              <w:rPr>
                <w:rFonts w:ascii="Times New Roman" w:hAnsi="Times New Roman" w:eastAsia="仿宋_GB2312" w:cs="Times New Roman"/>
                <w:snapToGrid/>
                <w:color w:val="auto"/>
                <w:sz w:val="24"/>
                <w:szCs w:val="24"/>
                <w:highlight w:val="none"/>
              </w:rPr>
              <w:t>0字以内）、安葬前清理、骨灰盒铺垫、防水防盗处理、封闭墓（格）位，</w:t>
            </w:r>
            <w:r>
              <w:rPr>
                <w:rFonts w:hint="eastAsia" w:ascii="Times New Roman" w:hAnsi="Times New Roman" w:eastAsia="仿宋_GB2312" w:cs="Times New Roman"/>
                <w:snapToGrid/>
                <w:color w:val="auto"/>
                <w:sz w:val="24"/>
                <w:szCs w:val="24"/>
                <w:highlight w:val="none"/>
                <w:lang w:eastAsia="zh-CN"/>
              </w:rPr>
              <w:t>普通</w:t>
            </w:r>
            <w:r>
              <w:rPr>
                <w:rFonts w:ascii="Times New Roman" w:hAnsi="Times New Roman" w:eastAsia="仿宋_GB2312" w:cs="Times New Roman"/>
                <w:snapToGrid/>
                <w:color w:val="auto"/>
                <w:sz w:val="24"/>
                <w:szCs w:val="24"/>
                <w:highlight w:val="none"/>
              </w:rPr>
              <w:t>落葬仪式等</w:t>
            </w:r>
          </w:p>
        </w:tc>
        <w:tc>
          <w:tcPr>
            <w:tcW w:w="277"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r>
              <w:rPr>
                <w:rFonts w:hint="eastAsia" w:ascii="Times New Roman" w:eastAsia="仿宋_GB2312" w:cs="Times New Roman"/>
                <w:snapToGrid/>
                <w:color w:val="auto"/>
                <w:sz w:val="24"/>
                <w:szCs w:val="24"/>
                <w:highlight w:val="none"/>
                <w:lang w:val="en-US" w:eastAsia="zh-CN"/>
              </w:rPr>
              <w:t>穴、格位</w:t>
            </w:r>
          </w:p>
        </w:tc>
        <w:tc>
          <w:tcPr>
            <w:tcW w:w="45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hint="eastAsia" w:ascii="Times New Roman" w:hAnsi="Times New Roman" w:eastAsia="仿宋_GB2312" w:cs="Times New Roman"/>
                <w:snapToGrid/>
                <w:color w:val="auto"/>
                <w:sz w:val="24"/>
                <w:szCs w:val="24"/>
                <w:highlight w:val="none"/>
                <w:lang w:val="en-US" w:eastAsia="zh-CN"/>
              </w:rPr>
              <w:t>政府指导价</w:t>
            </w:r>
          </w:p>
        </w:tc>
        <w:tc>
          <w:tcPr>
            <w:tcW w:w="1337"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eastAsia="zh-CN"/>
              </w:rPr>
            </w:pPr>
            <w:r>
              <w:rPr>
                <w:rFonts w:hint="eastAsia" w:ascii="Times New Roman" w:hAnsi="Times New Roman" w:eastAsia="仿宋_GB2312" w:cs="Times New Roman"/>
                <w:snapToGrid/>
                <w:color w:val="auto"/>
                <w:sz w:val="24"/>
                <w:szCs w:val="24"/>
                <w:highlight w:val="none"/>
                <w:lang w:eastAsia="zh-CN"/>
              </w:rPr>
              <w:t>单穴墓（含墓碑、骨灰安放、碑文、瓷像、安放证等基本服务）：2500元/座</w:t>
            </w:r>
            <w:r>
              <w:rPr>
                <w:rFonts w:hint="eastAsia" w:ascii="Times New Roman" w:eastAsia="仿宋_GB2312" w:cs="Times New Roman"/>
                <w:snapToGrid/>
                <w:color w:val="auto"/>
                <w:sz w:val="24"/>
                <w:szCs w:val="24"/>
                <w:highlight w:val="none"/>
                <w:lang w:eastAsia="zh-CN"/>
              </w:rPr>
              <w:t>；</w:t>
            </w:r>
            <w:r>
              <w:rPr>
                <w:rFonts w:hint="eastAsia" w:ascii="Times New Roman" w:hAnsi="Times New Roman" w:eastAsia="仿宋_GB2312" w:cs="Times New Roman"/>
                <w:snapToGrid/>
                <w:color w:val="auto"/>
                <w:sz w:val="24"/>
                <w:szCs w:val="24"/>
                <w:highlight w:val="none"/>
                <w:lang w:eastAsia="zh-CN"/>
              </w:rPr>
              <w:t>双穴墓（含墓碑、骨灰安放、碑文、瓷像、安放证等基本服务）：4000元/座</w:t>
            </w:r>
          </w:p>
        </w:tc>
        <w:tc>
          <w:tcPr>
            <w:tcW w:w="507"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eastAsia="zh-CN"/>
              </w:rPr>
            </w:pPr>
            <w:r>
              <w:rPr>
                <w:rFonts w:hint="eastAsia" w:ascii="Times New Roman" w:eastAsia="仿宋_GB2312" w:cs="Times New Roman"/>
                <w:snapToGrid/>
                <w:color w:val="auto"/>
                <w:sz w:val="24"/>
                <w:szCs w:val="24"/>
                <w:highlight w:val="none"/>
                <w:lang w:eastAsia="zh-CN"/>
              </w:rPr>
              <w:t>否</w:t>
            </w:r>
          </w:p>
        </w:tc>
        <w:tc>
          <w:tcPr>
            <w:tcW w:w="581" w:type="pct"/>
            <w:tcBorders>
              <w:top w:val="single" w:color="000000" w:themeColor="text1" w:sz="4" w:space="0"/>
              <w:left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eastAsia="zh-CN"/>
              </w:rPr>
            </w:pPr>
            <w:r>
              <w:rPr>
                <w:rFonts w:hint="eastAsia" w:ascii="Times New Roman" w:hAnsi="Times New Roman" w:eastAsia="仿宋_GB2312" w:cs="Times New Roman"/>
                <w:snapToGrid/>
                <w:color w:val="auto"/>
                <w:sz w:val="24"/>
                <w:szCs w:val="24"/>
                <w:highlight w:val="none"/>
                <w:lang w:eastAsia="zh-CN"/>
              </w:rPr>
              <w:t>具体价格和优惠政策由建设管理单位制定，民政部门审批。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5" w:hRule="atLeast"/>
        </w:trPr>
        <w:tc>
          <w:tcPr>
            <w:tcW w:w="18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9</w:t>
            </w:r>
          </w:p>
        </w:tc>
        <w:tc>
          <w:tcPr>
            <w:tcW w:w="415"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节地生态安葬</w:t>
            </w:r>
          </w:p>
        </w:tc>
        <w:tc>
          <w:tcPr>
            <w:tcW w:w="123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含树葬、花坛葬、草坪葬、海（江）葬等节地生态安葬</w:t>
            </w:r>
          </w:p>
        </w:tc>
        <w:tc>
          <w:tcPr>
            <w:tcW w:w="27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r>
              <w:rPr>
                <w:rFonts w:hint="eastAsia" w:ascii="Times New Roman" w:eastAsia="仿宋_GB2312" w:cs="Times New Roman"/>
                <w:snapToGrid/>
                <w:color w:val="auto"/>
                <w:sz w:val="24"/>
                <w:szCs w:val="24"/>
                <w:highlight w:val="none"/>
                <w:lang w:val="en-US" w:eastAsia="zh-CN"/>
              </w:rPr>
              <w:t>具</w:t>
            </w:r>
          </w:p>
        </w:tc>
        <w:tc>
          <w:tcPr>
            <w:tcW w:w="45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rPr>
            </w:pPr>
            <w:r>
              <w:rPr>
                <w:rFonts w:hint="eastAsia" w:ascii="Times New Roman" w:hAnsi="Times New Roman" w:eastAsia="仿宋_GB2312" w:cs="Times New Roman"/>
                <w:snapToGrid/>
                <w:color w:val="auto"/>
                <w:sz w:val="24"/>
                <w:szCs w:val="24"/>
                <w:highlight w:val="none"/>
                <w:lang w:val="en-US" w:eastAsia="zh-CN"/>
              </w:rPr>
              <w:t>政府指导价</w:t>
            </w:r>
          </w:p>
        </w:tc>
        <w:tc>
          <w:tcPr>
            <w:tcW w:w="133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eastAsia="zh-CN"/>
              </w:rPr>
            </w:pPr>
            <w:r>
              <w:rPr>
                <w:rFonts w:hint="eastAsia" w:ascii="Times New Roman" w:eastAsia="仿宋_GB2312" w:cs="Times New Roman"/>
                <w:snapToGrid/>
                <w:color w:val="auto"/>
                <w:sz w:val="24"/>
                <w:szCs w:val="24"/>
                <w:highlight w:val="none"/>
                <w:lang w:eastAsia="zh-CN"/>
              </w:rPr>
              <w:t>免费</w:t>
            </w:r>
          </w:p>
        </w:tc>
        <w:tc>
          <w:tcPr>
            <w:tcW w:w="50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hint="default" w:ascii="Times New Roman" w:hAnsi="Times New Roman" w:eastAsia="仿宋_GB2312" w:cs="Times New Roman"/>
                <w:snapToGrid/>
                <w:color w:val="auto"/>
                <w:sz w:val="24"/>
                <w:szCs w:val="24"/>
                <w:highlight w:val="none"/>
                <w:lang w:val="en-US" w:eastAsia="zh-CN"/>
              </w:rPr>
            </w:pPr>
            <w:r>
              <w:rPr>
                <w:rFonts w:hint="eastAsia" w:ascii="Times New Roman" w:eastAsia="仿宋_GB2312" w:cs="Times New Roman"/>
                <w:snapToGrid/>
                <w:color w:val="auto"/>
                <w:sz w:val="18"/>
                <w:szCs w:val="18"/>
                <w:highlight w:val="none"/>
                <w:lang w:eastAsia="zh-CN"/>
              </w:rPr>
              <w:t>是</w:t>
            </w:r>
          </w:p>
        </w:tc>
        <w:tc>
          <w:tcPr>
            <w:tcW w:w="58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r>
              <w:rPr>
                <w:rFonts w:hint="eastAsia" w:ascii="Times New Roman" w:hAnsi="Times New Roman" w:eastAsia="仿宋_GB2312" w:cs="Times New Roman"/>
                <w:snapToGrid/>
                <w:color w:val="auto"/>
                <w:sz w:val="24"/>
                <w:szCs w:val="24"/>
                <w:highlight w:val="none"/>
                <w:lang w:val="en-US" w:eastAsia="zh-CN"/>
              </w:rPr>
              <w:t>不保留骨灰、墓穴、不单独设立墓碑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94" w:hRule="atLeast"/>
        </w:trPr>
        <w:tc>
          <w:tcPr>
            <w:tcW w:w="18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10</w:t>
            </w:r>
          </w:p>
        </w:tc>
        <w:tc>
          <w:tcPr>
            <w:tcW w:w="415"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公墓维护管理</w:t>
            </w:r>
          </w:p>
        </w:tc>
        <w:tc>
          <w:tcPr>
            <w:tcW w:w="123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含环境、绿化、卫生维护、简易维修（不换件）</w:t>
            </w:r>
          </w:p>
        </w:tc>
        <w:tc>
          <w:tcPr>
            <w:tcW w:w="27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r>
              <w:rPr>
                <w:rFonts w:hint="eastAsia" w:ascii="Times New Roman" w:eastAsia="仿宋_GB2312" w:cs="Times New Roman"/>
                <w:snapToGrid/>
                <w:color w:val="auto"/>
                <w:sz w:val="24"/>
                <w:szCs w:val="24"/>
                <w:highlight w:val="none"/>
                <w:lang w:val="en-US" w:eastAsia="zh-CN"/>
              </w:rPr>
              <w:t>年</w:t>
            </w:r>
          </w:p>
        </w:tc>
        <w:tc>
          <w:tcPr>
            <w:tcW w:w="45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hint="eastAsia" w:ascii="Times New Roman" w:hAnsi="Times New Roman" w:eastAsia="仿宋_GB2312" w:cs="Times New Roman"/>
                <w:snapToGrid/>
                <w:color w:val="auto"/>
                <w:sz w:val="24"/>
                <w:szCs w:val="24"/>
                <w:highlight w:val="none"/>
                <w:lang w:val="en-US" w:eastAsia="zh-CN"/>
              </w:rPr>
              <w:t>政府指导价</w:t>
            </w:r>
          </w:p>
        </w:tc>
        <w:tc>
          <w:tcPr>
            <w:tcW w:w="133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1.公益性公墓单穴墓不超过50元/年</w:t>
            </w:r>
            <w:r>
              <w:rPr>
                <w:rFonts w:hint="eastAsia" w:ascii="Times New Roman" w:eastAsia="仿宋_GB2312" w:cs="Times New Roman"/>
                <w:snapToGrid/>
                <w:color w:val="auto"/>
                <w:sz w:val="24"/>
                <w:szCs w:val="24"/>
                <w:highlight w:val="none"/>
                <w:lang w:val="en-US" w:eastAsia="zh-CN"/>
              </w:rPr>
              <w:t>*</w:t>
            </w:r>
            <w:r>
              <w:rPr>
                <w:rFonts w:ascii="Times New Roman" w:hAnsi="Times New Roman" w:eastAsia="仿宋_GB2312" w:cs="Times New Roman"/>
                <w:snapToGrid/>
                <w:color w:val="auto"/>
                <w:sz w:val="24"/>
                <w:szCs w:val="24"/>
                <w:highlight w:val="none"/>
              </w:rPr>
              <w:t>墓、双穴墓不超过80元/年</w:t>
            </w:r>
            <w:r>
              <w:rPr>
                <w:rFonts w:hint="eastAsia" w:ascii="Times New Roman" w:eastAsia="仿宋_GB2312" w:cs="Times New Roman"/>
                <w:snapToGrid/>
                <w:color w:val="auto"/>
                <w:sz w:val="24"/>
                <w:szCs w:val="24"/>
                <w:highlight w:val="none"/>
                <w:lang w:val="en-US" w:eastAsia="zh-CN"/>
              </w:rPr>
              <w:t>*</w:t>
            </w:r>
            <w:r>
              <w:rPr>
                <w:rFonts w:ascii="Times New Roman" w:hAnsi="Times New Roman" w:eastAsia="仿宋_GB2312" w:cs="Times New Roman"/>
                <w:snapToGrid/>
                <w:color w:val="auto"/>
                <w:sz w:val="24"/>
                <w:szCs w:val="24"/>
                <w:highlight w:val="none"/>
              </w:rPr>
              <w:t>墓</w:t>
            </w:r>
          </w:p>
          <w:p>
            <w:pPr>
              <w:spacing w:line="296" w:lineRule="exact"/>
              <w:ind w:firstLine="0"/>
              <w:jc w:val="center"/>
              <w:rPr>
                <w:rFonts w:ascii="Times New Roman" w:hAnsi="Times New Roman" w:eastAsia="仿宋_GB2312" w:cs="Times New Roman"/>
                <w:snapToGrid/>
                <w:color w:val="auto"/>
                <w:sz w:val="24"/>
                <w:szCs w:val="24"/>
                <w:highlight w:val="none"/>
              </w:rPr>
            </w:pPr>
            <w:r>
              <w:rPr>
                <w:rFonts w:ascii="Times New Roman" w:hAnsi="Times New Roman" w:eastAsia="仿宋_GB2312" w:cs="Times New Roman"/>
                <w:snapToGrid/>
                <w:color w:val="auto"/>
                <w:sz w:val="24"/>
                <w:szCs w:val="24"/>
                <w:highlight w:val="none"/>
              </w:rPr>
              <w:t>2.经营性公墓最高不超过150元/年</w:t>
            </w:r>
            <w:r>
              <w:rPr>
                <w:rFonts w:hint="eastAsia" w:ascii="Times New Roman" w:eastAsia="仿宋_GB2312" w:cs="Times New Roman"/>
                <w:snapToGrid/>
                <w:color w:val="auto"/>
                <w:sz w:val="24"/>
                <w:szCs w:val="24"/>
                <w:highlight w:val="none"/>
                <w:lang w:val="en-US" w:eastAsia="zh-CN"/>
              </w:rPr>
              <w:t>*</w:t>
            </w:r>
            <w:r>
              <w:rPr>
                <w:rFonts w:ascii="Times New Roman" w:hAnsi="Times New Roman" w:eastAsia="仿宋_GB2312" w:cs="Times New Roman"/>
                <w:snapToGrid/>
                <w:color w:val="auto"/>
                <w:sz w:val="24"/>
                <w:szCs w:val="24"/>
                <w:highlight w:val="none"/>
              </w:rPr>
              <w:t>墓</w:t>
            </w:r>
          </w:p>
        </w:tc>
        <w:tc>
          <w:tcPr>
            <w:tcW w:w="50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eastAsia="zh-CN"/>
              </w:rPr>
            </w:pPr>
            <w:r>
              <w:rPr>
                <w:rFonts w:hint="eastAsia" w:ascii="Times New Roman" w:eastAsia="仿宋_GB2312" w:cs="Times New Roman"/>
                <w:snapToGrid/>
                <w:color w:val="auto"/>
                <w:sz w:val="24"/>
                <w:szCs w:val="24"/>
                <w:highlight w:val="none"/>
                <w:lang w:eastAsia="zh-CN"/>
              </w:rPr>
              <w:t>否</w:t>
            </w:r>
          </w:p>
        </w:tc>
        <w:tc>
          <w:tcPr>
            <w:tcW w:w="581"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296" w:lineRule="exact"/>
              <w:ind w:firstLine="0"/>
              <w:jc w:val="center"/>
              <w:rPr>
                <w:rFonts w:hint="eastAsia" w:ascii="Times New Roman" w:hAnsi="Times New Roman" w:eastAsia="仿宋_GB2312" w:cs="Times New Roman"/>
                <w:snapToGrid/>
                <w:color w:val="auto"/>
                <w:sz w:val="24"/>
                <w:szCs w:val="24"/>
                <w:highlight w:val="none"/>
                <w:lang w:val="en-US" w:eastAsia="zh-CN"/>
              </w:rPr>
            </w:pPr>
            <w:r>
              <w:rPr>
                <w:rFonts w:hint="eastAsia" w:ascii="Times New Roman" w:hAnsi="Times New Roman" w:eastAsia="仿宋_GB2312" w:cs="Times New Roman"/>
                <w:snapToGrid/>
                <w:color w:val="auto"/>
                <w:sz w:val="24"/>
                <w:szCs w:val="24"/>
                <w:highlight w:val="none"/>
                <w:lang w:eastAsia="zh-CN"/>
              </w:rPr>
              <w:t>具体价格和优惠政策由建设管理单位制定，民政部门审批。</w:t>
            </w:r>
          </w:p>
        </w:tc>
      </w:tr>
    </w:tbl>
    <w:p>
      <w:pPr>
        <w:spacing w:line="296" w:lineRule="exact"/>
        <w:ind w:firstLine="552" w:firstLineChars="200"/>
        <w:jc w:val="left"/>
        <w:rPr>
          <w:rFonts w:hint="eastAsia" w:ascii="黑体" w:hAnsi="黑体" w:eastAsia="黑体" w:cs="宋体"/>
          <w:snapToGrid/>
          <w:color w:val="000000" w:themeColor="text1"/>
          <w:sz w:val="28"/>
          <w:szCs w:val="28"/>
          <w:highlight w:val="none"/>
          <w:lang w:eastAsia="zh-CN"/>
        </w:rPr>
      </w:pPr>
    </w:p>
    <w:p>
      <w:pPr>
        <w:spacing w:line="296" w:lineRule="exact"/>
        <w:ind w:firstLine="0"/>
        <w:jc w:val="center"/>
        <w:rPr>
          <w:rFonts w:ascii="Times New Roman" w:hAnsi="Times New Roman" w:eastAsia="仿宋_GB2312" w:cs="Times New Roman"/>
          <w:snapToGrid/>
          <w:color w:val="000000" w:themeColor="text1"/>
          <w:sz w:val="24"/>
          <w:szCs w:val="24"/>
          <w:highlight w:val="none"/>
        </w:rPr>
      </w:pPr>
    </w:p>
    <w:p>
      <w:pPr>
        <w:spacing w:line="560" w:lineRule="exact"/>
        <w:ind w:firstLine="0"/>
        <w:rPr>
          <w:rFonts w:hint="default" w:ascii="Times New Roman" w:hAnsi="黑体" w:eastAsia="黑体"/>
          <w:color w:val="000000" w:themeColor="text1"/>
          <w:szCs w:val="32"/>
          <w:highlight w:val="none"/>
          <w:lang w:val="en-US" w:eastAsia="zh-CN"/>
        </w:rPr>
      </w:pPr>
      <w:r>
        <w:rPr>
          <w:rFonts w:hint="eastAsia" w:ascii="Times New Roman" w:hAnsi="黑体" w:eastAsia="黑体"/>
          <w:color w:val="000000" w:themeColor="text1"/>
          <w:szCs w:val="32"/>
          <w:highlight w:val="none"/>
          <w:lang w:eastAsia="zh-CN"/>
        </w:rPr>
        <w:t>附件</w:t>
      </w:r>
      <w:r>
        <w:rPr>
          <w:rFonts w:hint="eastAsia" w:ascii="Times New Roman" w:hAnsi="黑体" w:eastAsia="黑体"/>
          <w:color w:val="000000" w:themeColor="text1"/>
          <w:szCs w:val="32"/>
          <w:highlight w:val="none"/>
          <w:lang w:val="en-US" w:eastAsia="zh-CN"/>
        </w:rPr>
        <w:t>2</w:t>
      </w:r>
    </w:p>
    <w:p>
      <w:pPr>
        <w:spacing w:line="580" w:lineRule="exact"/>
        <w:ind w:firstLine="0"/>
        <w:jc w:val="center"/>
        <w:rPr>
          <w:rFonts w:ascii="方正小标宋_GBK" w:hAnsi="微软雅黑" w:eastAsia="方正小标宋_GBK" w:cs="宋体"/>
          <w:snapToGrid/>
          <w:color w:val="000000" w:themeColor="text1"/>
          <w:sz w:val="44"/>
          <w:szCs w:val="44"/>
          <w:highlight w:val="none"/>
        </w:rPr>
      </w:pPr>
      <w:r>
        <w:rPr>
          <w:rFonts w:hint="eastAsia" w:ascii="方正小标宋_GBK" w:hAnsi="微软雅黑" w:eastAsia="方正小标宋_GBK" w:cs="宋体"/>
          <w:snapToGrid/>
          <w:color w:val="000000" w:themeColor="text1"/>
          <w:sz w:val="44"/>
          <w:szCs w:val="44"/>
          <w:highlight w:val="none"/>
        </w:rPr>
        <w:t>淮安</w:t>
      </w:r>
      <w:r>
        <w:rPr>
          <w:rFonts w:hint="eastAsia" w:ascii="方正小标宋_GBK" w:hAnsi="微软雅黑" w:eastAsia="方正小标宋_GBK" w:cs="宋体"/>
          <w:snapToGrid/>
          <w:color w:val="000000" w:themeColor="text1"/>
          <w:sz w:val="44"/>
          <w:szCs w:val="44"/>
          <w:highlight w:val="none"/>
          <w:lang w:eastAsia="zh-CN"/>
        </w:rPr>
        <w:t>区</w:t>
      </w:r>
      <w:r>
        <w:rPr>
          <w:rFonts w:hint="eastAsia" w:ascii="方正小标宋_GBK" w:hAnsi="微软雅黑" w:eastAsia="方正小标宋_GBK" w:cs="宋体"/>
          <w:snapToGrid/>
          <w:color w:val="000000" w:themeColor="text1"/>
          <w:sz w:val="44"/>
          <w:szCs w:val="44"/>
          <w:highlight w:val="none"/>
        </w:rPr>
        <w:t>级殡葬延伸服务项目清单（试行）</w:t>
      </w:r>
    </w:p>
    <w:p>
      <w:pPr>
        <w:spacing w:line="580" w:lineRule="exact"/>
        <w:ind w:firstLine="0"/>
        <w:jc w:val="center"/>
        <w:rPr>
          <w:rFonts w:ascii="方正小标宋_GBK" w:hAnsi="微软雅黑" w:eastAsia="方正小标宋_GBK" w:cs="宋体"/>
          <w:snapToGrid/>
          <w:color w:val="000000" w:themeColor="text1"/>
          <w:sz w:val="44"/>
          <w:szCs w:val="44"/>
          <w:highlight w:val="none"/>
        </w:rPr>
      </w:pPr>
    </w:p>
    <w:tbl>
      <w:tblPr>
        <w:tblStyle w:val="16"/>
        <w:tblW w:w="149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6"/>
        <w:gridCol w:w="2095"/>
        <w:gridCol w:w="5358"/>
        <w:gridCol w:w="1428"/>
        <w:gridCol w:w="1808"/>
        <w:gridCol w:w="30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1" w:hRule="atLeast"/>
        </w:trPr>
        <w:tc>
          <w:tcPr>
            <w:tcW w:w="12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黑体" w:hAnsi="黑体" w:eastAsia="黑体" w:cs="宋体"/>
                <w:snapToGrid/>
                <w:color w:val="000000" w:themeColor="text1"/>
                <w:sz w:val="28"/>
                <w:szCs w:val="28"/>
                <w:highlight w:val="none"/>
              </w:rPr>
            </w:pPr>
            <w:r>
              <w:rPr>
                <w:rFonts w:hint="eastAsia" w:ascii="黑体" w:hAnsi="黑体" w:eastAsia="黑体" w:cs="宋体"/>
                <w:snapToGrid/>
                <w:color w:val="000000" w:themeColor="text1"/>
                <w:sz w:val="28"/>
                <w:szCs w:val="28"/>
                <w:highlight w:val="none"/>
              </w:rPr>
              <w:t>序号</w:t>
            </w:r>
          </w:p>
        </w:tc>
        <w:tc>
          <w:tcPr>
            <w:tcW w:w="20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黑体" w:hAnsi="黑体" w:eastAsia="黑体" w:cs="宋体"/>
                <w:snapToGrid/>
                <w:color w:val="000000" w:themeColor="text1"/>
                <w:sz w:val="28"/>
                <w:szCs w:val="28"/>
                <w:highlight w:val="none"/>
              </w:rPr>
            </w:pPr>
            <w:r>
              <w:rPr>
                <w:rFonts w:hint="eastAsia" w:ascii="黑体" w:hAnsi="黑体" w:eastAsia="黑体" w:cs="宋体"/>
                <w:snapToGrid/>
                <w:color w:val="000000" w:themeColor="text1"/>
                <w:sz w:val="28"/>
                <w:szCs w:val="28"/>
                <w:highlight w:val="none"/>
              </w:rPr>
              <w:t>服务项目</w:t>
            </w:r>
          </w:p>
        </w:tc>
        <w:tc>
          <w:tcPr>
            <w:tcW w:w="53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黑体" w:hAnsi="黑体" w:eastAsia="黑体" w:cs="宋体"/>
                <w:snapToGrid/>
                <w:color w:val="000000" w:themeColor="text1"/>
                <w:sz w:val="28"/>
                <w:szCs w:val="28"/>
                <w:highlight w:val="none"/>
              </w:rPr>
            </w:pPr>
            <w:r>
              <w:rPr>
                <w:rFonts w:hint="eastAsia" w:ascii="黑体" w:hAnsi="黑体" w:eastAsia="黑体" w:cs="宋体"/>
                <w:snapToGrid/>
                <w:color w:val="000000" w:themeColor="text1"/>
                <w:sz w:val="28"/>
                <w:szCs w:val="28"/>
                <w:highlight w:val="none"/>
              </w:rPr>
              <w:t>服务内容</w:t>
            </w:r>
          </w:p>
        </w:tc>
        <w:tc>
          <w:tcPr>
            <w:tcW w:w="14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黑体" w:hAnsi="黑体" w:eastAsia="黑体" w:cs="宋体"/>
                <w:snapToGrid/>
                <w:color w:val="000000" w:themeColor="text1"/>
                <w:sz w:val="28"/>
                <w:szCs w:val="28"/>
                <w:highlight w:val="none"/>
              </w:rPr>
            </w:pPr>
            <w:r>
              <w:rPr>
                <w:rFonts w:hint="eastAsia" w:ascii="黑体" w:hAnsi="黑体" w:eastAsia="黑体" w:cs="宋体"/>
                <w:snapToGrid/>
                <w:color w:val="000000" w:themeColor="text1"/>
                <w:sz w:val="28"/>
                <w:szCs w:val="28"/>
                <w:highlight w:val="none"/>
              </w:rPr>
              <w:t>计费</w:t>
            </w:r>
          </w:p>
          <w:p>
            <w:pPr>
              <w:spacing w:line="320" w:lineRule="exact"/>
              <w:ind w:firstLine="0"/>
              <w:jc w:val="center"/>
              <w:rPr>
                <w:rFonts w:ascii="黑体" w:hAnsi="黑体" w:eastAsia="黑体" w:cs="宋体"/>
                <w:snapToGrid/>
                <w:color w:val="000000" w:themeColor="text1"/>
                <w:sz w:val="28"/>
                <w:szCs w:val="28"/>
                <w:highlight w:val="none"/>
              </w:rPr>
            </w:pPr>
            <w:r>
              <w:rPr>
                <w:rFonts w:hint="eastAsia" w:ascii="黑体" w:hAnsi="黑体" w:eastAsia="黑体" w:cs="宋体"/>
                <w:snapToGrid/>
                <w:color w:val="000000" w:themeColor="text1"/>
                <w:sz w:val="28"/>
                <w:szCs w:val="28"/>
                <w:highlight w:val="none"/>
              </w:rPr>
              <w:t>单位</w:t>
            </w:r>
          </w:p>
        </w:tc>
        <w:tc>
          <w:tcPr>
            <w:tcW w:w="18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黑体" w:hAnsi="黑体" w:eastAsia="黑体" w:cs="宋体"/>
                <w:snapToGrid/>
                <w:color w:val="000000" w:themeColor="text1"/>
                <w:sz w:val="28"/>
                <w:szCs w:val="28"/>
                <w:highlight w:val="none"/>
              </w:rPr>
            </w:pPr>
            <w:r>
              <w:rPr>
                <w:rFonts w:hint="eastAsia" w:ascii="黑体" w:hAnsi="黑体" w:eastAsia="黑体" w:cs="宋体"/>
                <w:snapToGrid/>
                <w:color w:val="000000" w:themeColor="text1"/>
                <w:sz w:val="28"/>
                <w:szCs w:val="28"/>
                <w:highlight w:val="none"/>
              </w:rPr>
              <w:t>价格管理</w:t>
            </w:r>
          </w:p>
          <w:p>
            <w:pPr>
              <w:spacing w:line="320" w:lineRule="exact"/>
              <w:ind w:firstLine="0"/>
              <w:jc w:val="center"/>
              <w:rPr>
                <w:rFonts w:ascii="黑体" w:hAnsi="黑体" w:eastAsia="黑体" w:cs="宋体"/>
                <w:snapToGrid/>
                <w:color w:val="000000" w:themeColor="text1"/>
                <w:sz w:val="28"/>
                <w:szCs w:val="28"/>
                <w:highlight w:val="none"/>
              </w:rPr>
            </w:pPr>
            <w:r>
              <w:rPr>
                <w:rFonts w:hint="eastAsia" w:ascii="黑体" w:hAnsi="黑体" w:eastAsia="黑体" w:cs="宋体"/>
                <w:snapToGrid/>
                <w:color w:val="000000" w:themeColor="text1"/>
                <w:sz w:val="28"/>
                <w:szCs w:val="28"/>
                <w:highlight w:val="none"/>
              </w:rPr>
              <w:t>形式</w:t>
            </w:r>
          </w:p>
        </w:tc>
        <w:tc>
          <w:tcPr>
            <w:tcW w:w="30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黑体" w:hAnsi="黑体" w:eastAsia="黑体" w:cs="宋体"/>
                <w:snapToGrid/>
                <w:color w:val="000000" w:themeColor="text1"/>
                <w:sz w:val="28"/>
                <w:szCs w:val="28"/>
                <w:highlight w:val="none"/>
              </w:rPr>
            </w:pPr>
            <w:r>
              <w:rPr>
                <w:rFonts w:hint="eastAsia" w:ascii="黑体" w:hAnsi="黑体" w:eastAsia="黑体" w:cs="宋体"/>
                <w:snapToGrid/>
                <w:color w:val="000000" w:themeColor="text1"/>
                <w:sz w:val="28"/>
                <w:szCs w:val="28"/>
                <w:highlight w:val="none"/>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4" w:hRule="atLeast"/>
        </w:trPr>
        <w:tc>
          <w:tcPr>
            <w:tcW w:w="12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56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1</w:t>
            </w:r>
          </w:p>
        </w:tc>
        <w:tc>
          <w:tcPr>
            <w:tcW w:w="20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56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遗体外运</w:t>
            </w:r>
          </w:p>
        </w:tc>
        <w:tc>
          <w:tcPr>
            <w:tcW w:w="53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left"/>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遗体运出属地殡仪馆服务范围。含遗体的收殓、抬尸、装卸、运输、接运消毒、</w:t>
            </w:r>
            <w:r>
              <w:rPr>
                <w:rFonts w:ascii="仿宋_GB2312" w:hAnsi="微软雅黑" w:eastAsia="仿宋_GB2312" w:cs="宋体"/>
                <w:snapToGrid/>
                <w:color w:val="000000" w:themeColor="text1"/>
                <w:sz w:val="28"/>
                <w:szCs w:val="28"/>
                <w:highlight w:val="none"/>
              </w:rPr>
              <w:t>接尸袋等用品</w:t>
            </w:r>
          </w:p>
        </w:tc>
        <w:tc>
          <w:tcPr>
            <w:tcW w:w="14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具/次</w:t>
            </w:r>
          </w:p>
        </w:tc>
        <w:tc>
          <w:tcPr>
            <w:tcW w:w="18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市场调节价</w:t>
            </w:r>
          </w:p>
        </w:tc>
        <w:tc>
          <w:tcPr>
            <w:tcW w:w="30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left"/>
              <w:rPr>
                <w:rFonts w:hint="eastAsia" w:ascii="仿宋_GB2312" w:hAnsi="微软雅黑" w:eastAsia="仿宋_GB2312" w:cs="宋体"/>
                <w:snapToGrid/>
                <w:color w:val="000000" w:themeColor="text1"/>
                <w:sz w:val="28"/>
                <w:szCs w:val="28"/>
                <w:highlight w:val="none"/>
                <w:lang w:eastAsia="zh-CN"/>
              </w:rPr>
            </w:pPr>
            <w:r>
              <w:rPr>
                <w:rFonts w:hint="eastAsia" w:ascii="仿宋_GB2312" w:hAnsi="微软雅黑" w:eastAsia="仿宋_GB2312" w:cs="宋体"/>
                <w:snapToGrid/>
                <w:color w:val="000000" w:themeColor="text1"/>
                <w:sz w:val="28"/>
                <w:szCs w:val="28"/>
                <w:highlight w:val="none"/>
                <w:lang w:eastAsia="zh-CN"/>
              </w:rPr>
              <w:t>可参考遗体接运</w:t>
            </w:r>
            <w:r>
              <w:rPr>
                <w:rFonts w:hint="eastAsia" w:ascii="仿宋_GB2312" w:hAnsi="微软雅黑" w:eastAsia="仿宋_GB2312" w:cs="宋体"/>
                <w:snapToGrid/>
                <w:color w:val="000000" w:themeColor="text1"/>
                <w:sz w:val="28"/>
                <w:szCs w:val="28"/>
                <w:highlight w:val="none"/>
              </w:rPr>
              <w:t>（单程收费，含空驶费），途中产生的过路过桥等必要费用由丧属承担</w:t>
            </w:r>
            <w:r>
              <w:rPr>
                <w:rFonts w:hint="eastAsia" w:ascii="仿宋_GB2312" w:hAnsi="微软雅黑" w:eastAsia="仿宋_GB2312" w:cs="宋体"/>
                <w:snapToGrid/>
                <w:color w:val="000000" w:themeColor="text1"/>
                <w:sz w:val="28"/>
                <w:szCs w:val="28"/>
                <w:highlight w:val="none"/>
                <w:lang w:eastAsia="zh-CN"/>
              </w:rPr>
              <w:t>，国际外运按民政部相关规定执行，具体价格面议。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61" w:hRule="atLeast"/>
        </w:trPr>
        <w:tc>
          <w:tcPr>
            <w:tcW w:w="12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56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2</w:t>
            </w:r>
          </w:p>
        </w:tc>
        <w:tc>
          <w:tcPr>
            <w:tcW w:w="20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特殊遗体</w:t>
            </w:r>
          </w:p>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整理</w:t>
            </w:r>
          </w:p>
        </w:tc>
        <w:tc>
          <w:tcPr>
            <w:tcW w:w="53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left"/>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含特殊遗体的穿（脱）衣、冷冻、防腐、洗尸、沐浴、馆内解剖移尸、遗体消毒（物理、药物）等服务；含腐败或不完整的特殊遗体整容化妆、修复、塑形、缝整等服务</w:t>
            </w:r>
          </w:p>
        </w:tc>
        <w:tc>
          <w:tcPr>
            <w:tcW w:w="14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具</w:t>
            </w:r>
          </w:p>
        </w:tc>
        <w:tc>
          <w:tcPr>
            <w:tcW w:w="18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市场调节价</w:t>
            </w:r>
          </w:p>
        </w:tc>
        <w:tc>
          <w:tcPr>
            <w:tcW w:w="30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both"/>
              <w:rPr>
                <w:rFonts w:hint="eastAsia" w:ascii="仿宋_GB2312" w:hAnsi="微软雅黑" w:eastAsia="仿宋_GB2312" w:cs="宋体"/>
                <w:snapToGrid/>
                <w:color w:val="000000" w:themeColor="text1"/>
                <w:sz w:val="28"/>
                <w:szCs w:val="28"/>
                <w:highlight w:val="none"/>
                <w:lang w:eastAsia="zh-CN"/>
              </w:rPr>
            </w:pPr>
            <w:r>
              <w:rPr>
                <w:rFonts w:hint="eastAsia" w:ascii="仿宋_GB2312" w:hAnsi="微软雅黑" w:eastAsia="仿宋_GB2312" w:cs="宋体"/>
                <w:snapToGrid/>
                <w:color w:val="auto"/>
                <w:sz w:val="28"/>
                <w:szCs w:val="28"/>
                <w:highlight w:val="none"/>
                <w:lang w:eastAsia="zh-CN"/>
              </w:rPr>
              <w:t>参考价格：非正常</w:t>
            </w:r>
            <w:r>
              <w:rPr>
                <w:rFonts w:hint="eastAsia" w:ascii="仿宋_GB2312" w:hAnsi="微软雅黑" w:eastAsia="仿宋_GB2312" w:cs="宋体"/>
                <w:snapToGrid/>
                <w:color w:val="auto"/>
                <w:sz w:val="28"/>
                <w:szCs w:val="28"/>
                <w:highlight w:val="none"/>
              </w:rPr>
              <w:t>遗体消毒</w:t>
            </w:r>
            <w:r>
              <w:rPr>
                <w:rFonts w:hint="eastAsia" w:ascii="仿宋_GB2312" w:hAnsi="微软雅黑" w:eastAsia="仿宋_GB2312" w:cs="宋体"/>
                <w:snapToGrid/>
                <w:color w:val="auto"/>
                <w:sz w:val="28"/>
                <w:szCs w:val="28"/>
                <w:highlight w:val="none"/>
                <w:lang w:val="en-US" w:eastAsia="zh-CN"/>
              </w:rPr>
              <w:t>400元</w:t>
            </w:r>
            <w:r>
              <w:rPr>
                <w:rFonts w:hint="eastAsia" w:ascii="仿宋_GB2312" w:hAnsi="微软雅黑" w:eastAsia="仿宋_GB2312" w:cs="宋体"/>
                <w:snapToGrid/>
                <w:color w:val="auto"/>
                <w:sz w:val="28"/>
                <w:szCs w:val="28"/>
                <w:highlight w:val="none"/>
                <w:lang w:eastAsia="zh-CN"/>
              </w:rPr>
              <w:t>；</w:t>
            </w:r>
            <w:r>
              <w:rPr>
                <w:rFonts w:hint="eastAsia" w:ascii="仿宋_GB2312" w:hAnsi="微软雅黑" w:eastAsia="仿宋_GB2312" w:cs="宋体"/>
                <w:snapToGrid/>
                <w:color w:val="auto"/>
                <w:sz w:val="28"/>
                <w:szCs w:val="28"/>
                <w:highlight w:val="none"/>
              </w:rPr>
              <w:t>非正常遗体</w:t>
            </w:r>
            <w:r>
              <w:rPr>
                <w:rFonts w:hint="eastAsia" w:ascii="仿宋_GB2312" w:hAnsi="微软雅黑" w:eastAsia="仿宋_GB2312" w:cs="宋体"/>
                <w:snapToGrid/>
                <w:color w:val="auto"/>
                <w:sz w:val="28"/>
                <w:szCs w:val="28"/>
                <w:highlight w:val="none"/>
                <w:lang w:eastAsia="zh-CN"/>
              </w:rPr>
              <w:t>沐浴</w:t>
            </w:r>
            <w:r>
              <w:rPr>
                <w:rFonts w:hint="eastAsia" w:ascii="仿宋_GB2312" w:hAnsi="微软雅黑" w:eastAsia="仿宋_GB2312" w:cs="宋体"/>
                <w:snapToGrid/>
                <w:color w:val="auto"/>
                <w:sz w:val="28"/>
                <w:szCs w:val="28"/>
                <w:highlight w:val="none"/>
                <w:lang w:val="en-US" w:eastAsia="zh-CN"/>
              </w:rPr>
              <w:t>180元</w:t>
            </w:r>
            <w:r>
              <w:rPr>
                <w:rFonts w:hint="eastAsia" w:ascii="仿宋_GB2312" w:hAnsi="微软雅黑" w:eastAsia="仿宋_GB2312" w:cs="宋体"/>
                <w:snapToGrid/>
                <w:color w:val="auto"/>
                <w:sz w:val="28"/>
                <w:szCs w:val="28"/>
                <w:highlight w:val="none"/>
                <w:lang w:eastAsia="zh-CN"/>
              </w:rPr>
              <w:t>；</w:t>
            </w:r>
            <w:r>
              <w:rPr>
                <w:rFonts w:hint="eastAsia" w:ascii="仿宋_GB2312" w:hAnsi="微软雅黑" w:eastAsia="仿宋_GB2312" w:cs="宋体"/>
                <w:snapToGrid/>
                <w:color w:val="auto"/>
                <w:sz w:val="28"/>
                <w:szCs w:val="28"/>
                <w:highlight w:val="none"/>
              </w:rPr>
              <w:t>非正常遗体馆内解剖移尸</w:t>
            </w:r>
            <w:r>
              <w:rPr>
                <w:rFonts w:hint="eastAsia" w:ascii="仿宋_GB2312" w:hAnsi="微软雅黑" w:eastAsia="仿宋_GB2312" w:cs="宋体"/>
                <w:snapToGrid/>
                <w:color w:val="auto"/>
                <w:sz w:val="28"/>
                <w:szCs w:val="28"/>
                <w:highlight w:val="none"/>
                <w:lang w:val="en-US" w:eastAsia="zh-CN"/>
              </w:rPr>
              <w:t>200元；</w:t>
            </w:r>
            <w:r>
              <w:rPr>
                <w:rFonts w:hint="eastAsia" w:ascii="仿宋_GB2312" w:hAnsi="微软雅黑" w:eastAsia="仿宋_GB2312" w:cs="宋体"/>
                <w:snapToGrid/>
                <w:color w:val="auto"/>
                <w:sz w:val="28"/>
                <w:szCs w:val="28"/>
                <w:highlight w:val="none"/>
              </w:rPr>
              <w:t>非正常遗体</w:t>
            </w:r>
            <w:r>
              <w:rPr>
                <w:rFonts w:hint="eastAsia" w:ascii="仿宋_GB2312" w:hAnsi="微软雅黑" w:eastAsia="仿宋_GB2312" w:cs="宋体"/>
                <w:snapToGrid/>
                <w:color w:val="auto"/>
                <w:sz w:val="28"/>
                <w:szCs w:val="28"/>
                <w:highlight w:val="none"/>
                <w:lang w:eastAsia="zh-CN"/>
              </w:rPr>
              <w:t>劳务</w:t>
            </w:r>
            <w:r>
              <w:rPr>
                <w:rFonts w:hint="eastAsia" w:ascii="仿宋_GB2312" w:hAnsi="微软雅黑" w:eastAsia="仿宋_GB2312" w:cs="宋体"/>
                <w:snapToGrid/>
                <w:color w:val="auto"/>
                <w:sz w:val="28"/>
                <w:szCs w:val="28"/>
                <w:highlight w:val="none"/>
                <w:lang w:val="en-US" w:eastAsia="zh-CN"/>
              </w:rPr>
              <w:t>100元，具体价格面议。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9" w:hRule="atLeast"/>
        </w:trPr>
        <w:tc>
          <w:tcPr>
            <w:tcW w:w="12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56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3</w:t>
            </w:r>
          </w:p>
        </w:tc>
        <w:tc>
          <w:tcPr>
            <w:tcW w:w="20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经营性公墓墓（格）费</w:t>
            </w:r>
          </w:p>
        </w:tc>
        <w:tc>
          <w:tcPr>
            <w:tcW w:w="53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left"/>
              <w:rPr>
                <w:rFonts w:ascii="仿宋_GB2312" w:hAnsi="微软雅黑" w:eastAsia="仿宋_GB2312" w:cs="宋体"/>
                <w:snapToGrid/>
                <w:color w:val="000000" w:themeColor="text1"/>
                <w:sz w:val="28"/>
                <w:szCs w:val="28"/>
                <w:highlight w:val="none"/>
              </w:rPr>
            </w:pPr>
            <w:r>
              <w:rPr>
                <w:rFonts w:hint="eastAsia" w:ascii="Times New Roman" w:hAnsi="微软雅黑" w:eastAsia="仿宋_GB2312" w:cs="宋体"/>
                <w:snapToGrid/>
                <w:color w:val="000000" w:themeColor="text1"/>
                <w:sz w:val="28"/>
                <w:szCs w:val="28"/>
                <w:highlight w:val="none"/>
              </w:rPr>
              <w:t>墓（格）位建造，墓碑制作（含描漆、瓷像、刻字单穴50字以内、双穴80字以内）、安葬前清理、骨灰盒铺垫、防水防盗处理、封闭墓（格）位，普通落葬仪式等服务和用品</w:t>
            </w:r>
          </w:p>
        </w:tc>
        <w:tc>
          <w:tcPr>
            <w:tcW w:w="14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穴、格位</w:t>
            </w:r>
          </w:p>
        </w:tc>
        <w:tc>
          <w:tcPr>
            <w:tcW w:w="18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市场调节价</w:t>
            </w:r>
          </w:p>
        </w:tc>
        <w:tc>
          <w:tcPr>
            <w:tcW w:w="301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left"/>
              <w:rPr>
                <w:rFonts w:hint="eastAsia" w:ascii="仿宋_GB2312" w:hAnsi="微软雅黑" w:eastAsia="仿宋_GB2312" w:cs="宋体"/>
                <w:snapToGrid/>
                <w:color w:val="000000" w:themeColor="text1"/>
                <w:sz w:val="28"/>
                <w:szCs w:val="28"/>
                <w:highlight w:val="none"/>
                <w:lang w:eastAsia="zh-CN"/>
              </w:rPr>
            </w:pPr>
            <w:r>
              <w:rPr>
                <w:rFonts w:hint="eastAsia" w:ascii="仿宋_GB2312" w:hAnsi="微软雅黑" w:eastAsia="仿宋_GB2312" w:cs="宋体"/>
                <w:snapToGrid/>
                <w:color w:val="000000" w:themeColor="text1"/>
                <w:sz w:val="28"/>
                <w:szCs w:val="28"/>
                <w:highlight w:val="none"/>
                <w:lang w:eastAsia="zh-CN"/>
              </w:rPr>
              <w:t>按相关要求报备，价格减免依照具体规定执行，刻字超过规定字数、其他特殊需求的按照个性化需求协商约定。</w:t>
            </w:r>
          </w:p>
        </w:tc>
      </w:tr>
    </w:tbl>
    <w:p>
      <w:pPr>
        <w:spacing w:line="320" w:lineRule="exact"/>
        <w:ind w:firstLine="236" w:firstLineChars="100"/>
        <w:jc w:val="left"/>
        <w:rPr>
          <w:rFonts w:ascii="仿宋_GB2312" w:hAnsi="微软雅黑" w:eastAsia="仿宋_GB2312" w:cs="宋体"/>
          <w:snapToGrid/>
          <w:color w:val="000000" w:themeColor="text1"/>
          <w:sz w:val="28"/>
          <w:szCs w:val="28"/>
          <w:highlight w:val="none"/>
        </w:rPr>
      </w:pPr>
      <w:r>
        <w:rPr>
          <w:rFonts w:ascii="黑体" w:hAnsi="黑体" w:eastAsia="黑体" w:cs="宋体"/>
          <w:snapToGrid/>
          <w:color w:val="000000" w:themeColor="text1"/>
          <w:sz w:val="24"/>
          <w:szCs w:val="24"/>
          <w:highlight w:val="none"/>
        </w:rPr>
        <w:t>说明</w:t>
      </w:r>
      <w:r>
        <w:rPr>
          <w:rFonts w:hint="eastAsia" w:ascii="黑体" w:hAnsi="黑体" w:eastAsia="黑体" w:cs="宋体"/>
          <w:snapToGrid/>
          <w:color w:val="000000" w:themeColor="text1"/>
          <w:sz w:val="24"/>
          <w:szCs w:val="24"/>
          <w:highlight w:val="none"/>
        </w:rPr>
        <w:t>：</w:t>
      </w:r>
      <w:r>
        <w:rPr>
          <w:rFonts w:hint="eastAsia" w:ascii="仿宋_GB2312" w:hAnsi="微软雅黑" w:eastAsia="仿宋_GB2312" w:cs="宋体"/>
          <w:snapToGrid/>
          <w:color w:val="000000" w:themeColor="text1"/>
          <w:sz w:val="28"/>
          <w:szCs w:val="28"/>
          <w:highlight w:val="none"/>
        </w:rPr>
        <w:t>1.特殊遗体指传染病、腐尸等非正常遗体。</w:t>
      </w:r>
    </w:p>
    <w:p>
      <w:pPr>
        <w:spacing w:line="320" w:lineRule="exact"/>
        <w:ind w:firstLine="966" w:firstLineChars="350"/>
        <w:jc w:val="left"/>
        <w:rPr>
          <w:rFonts w:hint="eastAsia" w:ascii="方正小标宋_GBK" w:hAnsi="微软雅黑" w:eastAsia="方正小标宋_GBK" w:cs="宋体"/>
          <w:snapToGrid/>
          <w:color w:val="000000" w:themeColor="text1"/>
          <w:sz w:val="44"/>
          <w:szCs w:val="44"/>
          <w:highlight w:val="none"/>
        </w:rPr>
      </w:pPr>
      <w:r>
        <w:rPr>
          <w:rFonts w:hint="eastAsia" w:ascii="仿宋_GB2312" w:hAnsi="微软雅黑" w:eastAsia="仿宋_GB2312" w:cs="宋体"/>
          <w:snapToGrid/>
          <w:color w:val="000000" w:themeColor="text1"/>
          <w:sz w:val="28"/>
          <w:szCs w:val="28"/>
          <w:highlight w:val="none"/>
        </w:rPr>
        <w:t>2.延伸服务项目清单以外符合殡葬政策的个性化需求另行协商约定。</w:t>
      </w:r>
    </w:p>
    <w:p>
      <w:pPr>
        <w:spacing w:line="560" w:lineRule="exact"/>
        <w:ind w:firstLine="0"/>
        <w:rPr>
          <w:rFonts w:hint="default" w:ascii="Times New Roman" w:hAnsi="黑体" w:eastAsia="黑体"/>
          <w:color w:val="000000" w:themeColor="text1"/>
          <w:szCs w:val="32"/>
          <w:highlight w:val="none"/>
          <w:lang w:val="en-US" w:eastAsia="zh-CN"/>
        </w:rPr>
      </w:pPr>
      <w:r>
        <w:rPr>
          <w:rFonts w:hint="eastAsia" w:ascii="Times New Roman" w:hAnsi="黑体" w:eastAsia="黑体"/>
          <w:color w:val="000000" w:themeColor="text1"/>
          <w:szCs w:val="32"/>
          <w:highlight w:val="none"/>
          <w:lang w:eastAsia="zh-CN"/>
        </w:rPr>
        <w:t>附件</w:t>
      </w:r>
      <w:r>
        <w:rPr>
          <w:rFonts w:hint="eastAsia" w:ascii="Times New Roman" w:hAnsi="黑体" w:eastAsia="黑体"/>
          <w:color w:val="000000" w:themeColor="text1"/>
          <w:szCs w:val="32"/>
          <w:highlight w:val="none"/>
          <w:lang w:val="en-US" w:eastAsia="zh-CN"/>
        </w:rPr>
        <w:t>3</w:t>
      </w:r>
    </w:p>
    <w:p>
      <w:pPr>
        <w:spacing w:line="560" w:lineRule="exact"/>
        <w:ind w:firstLine="0"/>
        <w:jc w:val="center"/>
        <w:rPr>
          <w:rFonts w:ascii="方正小标宋_GBK" w:hAnsi="微软雅黑" w:eastAsia="方正小标宋_GBK" w:cs="宋体"/>
          <w:snapToGrid/>
          <w:color w:val="FF0000"/>
          <w:sz w:val="44"/>
          <w:szCs w:val="44"/>
          <w:highlight w:val="none"/>
        </w:rPr>
      </w:pPr>
      <w:r>
        <w:rPr>
          <w:rFonts w:hint="eastAsia" w:ascii="方正小标宋_GBK" w:hAnsi="微软雅黑" w:eastAsia="方正小标宋_GBK" w:cs="宋体"/>
          <w:snapToGrid/>
          <w:color w:val="000000" w:themeColor="text1"/>
          <w:sz w:val="44"/>
          <w:szCs w:val="44"/>
          <w:highlight w:val="none"/>
        </w:rPr>
        <w:t>淮安</w:t>
      </w:r>
      <w:r>
        <w:rPr>
          <w:rFonts w:hint="eastAsia" w:ascii="方正小标宋_GBK" w:hAnsi="微软雅黑" w:eastAsia="方正小标宋_GBK" w:cs="宋体"/>
          <w:snapToGrid/>
          <w:color w:val="000000" w:themeColor="text1"/>
          <w:sz w:val="44"/>
          <w:szCs w:val="44"/>
          <w:highlight w:val="none"/>
          <w:lang w:eastAsia="zh-CN"/>
        </w:rPr>
        <w:t>区</w:t>
      </w:r>
      <w:r>
        <w:rPr>
          <w:rFonts w:hint="eastAsia" w:ascii="方正小标宋_GBK" w:hAnsi="微软雅黑" w:eastAsia="方正小标宋_GBK" w:cs="宋体"/>
          <w:snapToGrid/>
          <w:color w:val="000000" w:themeColor="text1"/>
          <w:sz w:val="44"/>
          <w:szCs w:val="44"/>
          <w:highlight w:val="none"/>
        </w:rPr>
        <w:t>级殡葬用品清单（试行）</w:t>
      </w:r>
    </w:p>
    <w:tbl>
      <w:tblPr>
        <w:tblStyle w:val="16"/>
        <w:tblW w:w="1501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39"/>
        <w:gridCol w:w="2918"/>
        <w:gridCol w:w="3948"/>
        <w:gridCol w:w="1417"/>
        <w:gridCol w:w="1853"/>
        <w:gridCol w:w="1383"/>
        <w:gridCol w:w="245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1"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黑体" w:hAnsi="黑体" w:eastAsia="黑体" w:cs="宋体"/>
                <w:snapToGrid/>
                <w:color w:val="000000" w:themeColor="text1"/>
                <w:sz w:val="28"/>
                <w:szCs w:val="28"/>
                <w:highlight w:val="none"/>
              </w:rPr>
            </w:pPr>
            <w:r>
              <w:rPr>
                <w:rFonts w:hint="eastAsia" w:ascii="黑体" w:hAnsi="黑体" w:eastAsia="黑体" w:cs="宋体"/>
                <w:snapToGrid/>
                <w:color w:val="000000" w:themeColor="text1"/>
                <w:sz w:val="28"/>
                <w:szCs w:val="28"/>
                <w:highlight w:val="none"/>
              </w:rPr>
              <w:t>序号</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黑体" w:hAnsi="黑体" w:eastAsia="黑体" w:cs="宋体"/>
                <w:snapToGrid/>
                <w:color w:val="000000" w:themeColor="text1"/>
                <w:sz w:val="28"/>
                <w:szCs w:val="28"/>
                <w:highlight w:val="none"/>
              </w:rPr>
            </w:pPr>
            <w:r>
              <w:rPr>
                <w:rFonts w:hint="eastAsia" w:ascii="黑体" w:hAnsi="黑体" w:eastAsia="黑体" w:cs="宋体"/>
                <w:snapToGrid/>
                <w:color w:val="000000" w:themeColor="text1"/>
                <w:sz w:val="28"/>
                <w:szCs w:val="28"/>
                <w:highlight w:val="none"/>
              </w:rPr>
              <w:t>用品名称</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黑体" w:hAnsi="黑体" w:eastAsia="黑体" w:cs="宋体"/>
                <w:snapToGrid/>
                <w:color w:val="000000" w:themeColor="text1"/>
                <w:sz w:val="28"/>
                <w:szCs w:val="28"/>
                <w:highlight w:val="none"/>
              </w:rPr>
            </w:pPr>
            <w:r>
              <w:rPr>
                <w:rFonts w:hint="eastAsia" w:ascii="黑体" w:hAnsi="黑体" w:eastAsia="黑体" w:cs="宋体"/>
                <w:snapToGrid/>
                <w:color w:val="000000" w:themeColor="text1"/>
                <w:sz w:val="28"/>
                <w:szCs w:val="28"/>
                <w:highlight w:val="none"/>
              </w:rPr>
              <w:t>用途、功能介绍</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黑体" w:hAnsi="黑体" w:eastAsia="黑体" w:cs="宋体"/>
                <w:snapToGrid/>
                <w:color w:val="000000" w:themeColor="text1"/>
                <w:sz w:val="28"/>
                <w:szCs w:val="28"/>
                <w:highlight w:val="none"/>
              </w:rPr>
            </w:pPr>
            <w:r>
              <w:rPr>
                <w:rFonts w:hint="eastAsia" w:ascii="黑体" w:hAnsi="黑体" w:eastAsia="黑体" w:cs="宋体"/>
                <w:snapToGrid/>
                <w:color w:val="000000" w:themeColor="text1"/>
                <w:sz w:val="28"/>
                <w:szCs w:val="28"/>
                <w:highlight w:val="none"/>
              </w:rPr>
              <w:t>计费单位</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黑体" w:hAnsi="黑体" w:eastAsia="黑体" w:cs="宋体"/>
                <w:snapToGrid/>
                <w:color w:val="000000" w:themeColor="text1"/>
                <w:sz w:val="28"/>
                <w:szCs w:val="28"/>
                <w:highlight w:val="none"/>
              </w:rPr>
            </w:pPr>
            <w:r>
              <w:rPr>
                <w:rFonts w:hint="eastAsia" w:ascii="黑体" w:hAnsi="黑体" w:eastAsia="黑体" w:cs="宋体"/>
                <w:snapToGrid/>
                <w:color w:val="000000" w:themeColor="text1"/>
                <w:sz w:val="28"/>
                <w:szCs w:val="28"/>
                <w:highlight w:val="none"/>
              </w:rPr>
              <w:t>价格管理</w:t>
            </w:r>
          </w:p>
          <w:p>
            <w:pPr>
              <w:spacing w:line="320" w:lineRule="exact"/>
              <w:ind w:firstLine="0"/>
              <w:jc w:val="center"/>
              <w:rPr>
                <w:rFonts w:ascii="黑体" w:hAnsi="黑体" w:eastAsia="黑体" w:cs="宋体"/>
                <w:snapToGrid/>
                <w:color w:val="000000" w:themeColor="text1"/>
                <w:sz w:val="28"/>
                <w:szCs w:val="28"/>
                <w:highlight w:val="none"/>
              </w:rPr>
            </w:pPr>
            <w:r>
              <w:rPr>
                <w:rFonts w:hint="eastAsia" w:ascii="黑体" w:hAnsi="黑体" w:eastAsia="黑体" w:cs="宋体"/>
                <w:snapToGrid/>
                <w:color w:val="000000" w:themeColor="text1"/>
                <w:sz w:val="28"/>
                <w:szCs w:val="28"/>
                <w:highlight w:val="none"/>
              </w:rPr>
              <w:t>形式</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黑体" w:hAnsi="黑体" w:eastAsia="黑体" w:cs="宋体"/>
                <w:snapToGrid/>
                <w:color w:val="000000" w:themeColor="text1"/>
                <w:sz w:val="28"/>
                <w:szCs w:val="28"/>
                <w:highlight w:val="none"/>
              </w:rPr>
            </w:pPr>
            <w:r>
              <w:rPr>
                <w:rFonts w:hint="eastAsia" w:ascii="黑体" w:hAnsi="黑体" w:eastAsia="黑体" w:cs="宋体"/>
                <w:snapToGrid/>
                <w:color w:val="000000" w:themeColor="text1"/>
                <w:sz w:val="28"/>
                <w:szCs w:val="28"/>
                <w:highlight w:val="none"/>
              </w:rPr>
              <w:t>是否惠民殡葬政策</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黑体" w:hAnsi="黑体" w:eastAsia="黑体" w:cs="宋体"/>
                <w:snapToGrid/>
                <w:color w:val="000000" w:themeColor="text1"/>
                <w:sz w:val="28"/>
                <w:szCs w:val="28"/>
                <w:highlight w:val="none"/>
              </w:rPr>
            </w:pPr>
            <w:r>
              <w:rPr>
                <w:rFonts w:hint="eastAsia" w:ascii="黑体" w:hAnsi="黑体" w:eastAsia="黑体" w:cs="宋体"/>
                <w:snapToGrid/>
                <w:color w:val="000000" w:themeColor="text1"/>
                <w:sz w:val="28"/>
                <w:szCs w:val="28"/>
                <w:highlight w:val="none"/>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1"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1</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骨灰盒</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用于装殓逝者骨灰</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个</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是</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惠民殡葬政策以外，坚持自愿原则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1"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2</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寿衣被</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逝者穿戴告别吊唁用品</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套</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否</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坚持自愿原则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1"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3</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花篮/花圈/桌花</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守灵、吊唁用品</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只</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否</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坚持自愿原则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1"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4</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卫生棺（一次性纸质）</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用于装运遗体</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个</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否</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坚持自愿原则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1"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5</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相片花/遗像</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用于装饰遗像/守灵吊唁用品</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个/份</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否</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坚持自愿原则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1"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6</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lang w:eastAsia="zh-CN"/>
              </w:rPr>
              <w:t>签到簿</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用于丧属记账</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个</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否</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坚持自愿原则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1"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7</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黑袖章</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用于丧属戴孝</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只</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否</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坚持自愿原则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1"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8</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香/香炉</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用于丧属祭祀、落葬</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把/个</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否</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坚持自愿原则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1"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9</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小毛巾/矿泉水</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用于亲友吊唁</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个/瓶</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否</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坚持自愿原则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1"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10</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贡  品</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用于丧属祭祀</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份</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否</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坚持自愿原则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1"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11</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一次性丧葬用盆/黄纸</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用于丧属祭祀</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个/份</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否</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坚持自愿原则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1"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12</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鲜花</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left"/>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用于遗体装殓、集中守灵、告别、落葬、祭祀等</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只/束</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否</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20" w:lineRule="exact"/>
              <w:ind w:firstLine="0"/>
              <w:jc w:val="center"/>
              <w:rPr>
                <w:rFonts w:ascii="仿宋_GB2312" w:hAnsi="微软雅黑" w:eastAsia="仿宋_GB2312" w:cs="宋体"/>
                <w:snapToGrid/>
                <w:color w:val="000000" w:themeColor="text1"/>
                <w:sz w:val="28"/>
                <w:szCs w:val="28"/>
                <w:highlight w:val="none"/>
              </w:rPr>
            </w:pPr>
            <w:r>
              <w:rPr>
                <w:rFonts w:hint="eastAsia" w:ascii="仿宋_GB2312" w:hAnsi="微软雅黑" w:eastAsia="仿宋_GB2312" w:cs="宋体"/>
                <w:snapToGrid/>
                <w:color w:val="000000" w:themeColor="text1"/>
                <w:sz w:val="28"/>
                <w:szCs w:val="28"/>
                <w:highlight w:val="none"/>
              </w:rPr>
              <w:t>坚持自愿原则</w:t>
            </w:r>
          </w:p>
        </w:tc>
      </w:tr>
    </w:tbl>
    <w:p>
      <w:pPr>
        <w:spacing w:line="296" w:lineRule="exact"/>
        <w:ind w:firstLine="0"/>
        <w:jc w:val="both"/>
        <w:rPr>
          <w:rFonts w:ascii="Times New Roman" w:hAnsi="Times New Roman" w:eastAsia="仿宋_GB2312" w:cs="Times New Roman"/>
          <w:snapToGrid/>
          <w:color w:val="000000" w:themeColor="text1"/>
          <w:sz w:val="24"/>
          <w:szCs w:val="24"/>
          <w:highlight w:val="none"/>
        </w:rPr>
      </w:pPr>
    </w:p>
    <w:p>
      <w:pPr>
        <w:spacing w:line="560" w:lineRule="exact"/>
        <w:ind w:firstLine="0"/>
        <w:rPr>
          <w:rFonts w:ascii="Times New Roman" w:eastAsia="仿宋_GB2312"/>
          <w:color w:val="000000" w:themeColor="text1"/>
          <w:szCs w:val="32"/>
          <w:highlight w:val="none"/>
        </w:rPr>
        <w:sectPr>
          <w:footerReference r:id="rId7" w:type="default"/>
          <w:footerReference r:id="rId8" w:type="even"/>
          <w:pgSz w:w="16838" w:h="11906" w:orient="landscape"/>
          <w:pgMar w:top="567" w:right="851" w:bottom="567" w:left="851" w:header="851" w:footer="1304" w:gutter="0"/>
          <w:paperSrc w:first="7" w:other="7"/>
          <w:cols w:space="720" w:num="1"/>
          <w:docGrid w:type="linesAndChars" w:linePitch="590" w:charSpace="-1024"/>
        </w:sectPr>
      </w:pPr>
    </w:p>
    <w:p>
      <w:pPr>
        <w:spacing w:line="560" w:lineRule="exact"/>
        <w:ind w:firstLine="0"/>
        <w:rPr>
          <w:rFonts w:ascii="Times New Roman" w:eastAsia="黑体"/>
          <w:color w:val="000000" w:themeColor="text1"/>
          <w:szCs w:val="32"/>
          <w:highlight w:val="none"/>
        </w:rPr>
      </w:pPr>
      <w:r>
        <w:rPr>
          <w:rFonts w:ascii="Times New Roman" w:hAnsi="黑体" w:eastAsia="黑体"/>
          <w:color w:val="000000" w:themeColor="text1"/>
          <w:szCs w:val="32"/>
          <w:highlight w:val="none"/>
        </w:rPr>
        <w:t>附件</w:t>
      </w:r>
      <w:r>
        <w:rPr>
          <w:rFonts w:ascii="Times New Roman" w:eastAsia="黑体"/>
          <w:color w:val="000000" w:themeColor="text1"/>
          <w:szCs w:val="32"/>
          <w:highlight w:val="none"/>
        </w:rPr>
        <w:t>4</w:t>
      </w:r>
    </w:p>
    <w:p>
      <w:pPr>
        <w:jc w:val="center"/>
        <w:rPr>
          <w:rFonts w:ascii="Times New Roman" w:eastAsia="方正小标宋_GBK"/>
          <w:sz w:val="44"/>
          <w:szCs w:val="44"/>
          <w:highlight w:val="none"/>
        </w:rPr>
      </w:pPr>
      <w:r>
        <w:rPr>
          <w:rFonts w:ascii="Times New Roman" w:eastAsia="方正小标宋_GBK"/>
          <w:color w:val="000000" w:themeColor="text1"/>
          <w:sz w:val="44"/>
          <w:szCs w:val="44"/>
          <w:highlight w:val="none"/>
        </w:rPr>
        <w:t>公墓墓（格）葬费和维护管理费</w:t>
      </w:r>
      <w:r>
        <w:rPr>
          <w:rFonts w:ascii="Times New Roman" w:eastAsia="方正小标宋_GBK"/>
          <w:sz w:val="44"/>
          <w:szCs w:val="44"/>
          <w:highlight w:val="none"/>
        </w:rPr>
        <w:t>备案表</w:t>
      </w:r>
    </w:p>
    <w:p>
      <w:pPr>
        <w:widowControl/>
        <w:shd w:val="clear" w:color="auto" w:fill="FFFFFF"/>
        <w:jc w:val="left"/>
        <w:rPr>
          <w:rFonts w:ascii="Times New Roman" w:eastAsia="仿宋_GB2312"/>
          <w:color w:val="444444"/>
          <w:sz w:val="24"/>
          <w:szCs w:val="24"/>
          <w:highlight w:val="none"/>
          <w:shd w:val="clear" w:color="auto" w:fill="FFFFFF"/>
        </w:rPr>
      </w:pPr>
      <w:r>
        <w:rPr>
          <w:rFonts w:ascii="Times New Roman" w:eastAsia="仿宋_GB2312"/>
          <w:color w:val="000000"/>
          <w:spacing w:val="-8"/>
          <w:sz w:val="24"/>
          <w:szCs w:val="24"/>
          <w:highlight w:val="none"/>
          <w:shd w:val="clear" w:color="auto" w:fill="FFFFFF"/>
        </w:rPr>
        <w:t>申请单位（盖章）：</w:t>
      </w:r>
      <w:r>
        <w:rPr>
          <w:rFonts w:hint="default" w:ascii="Times New Roman" w:eastAsia="仿宋_GB2312"/>
          <w:color w:val="000000"/>
          <w:spacing w:val="-8"/>
          <w:sz w:val="24"/>
          <w:szCs w:val="24"/>
          <w:highlight w:val="none"/>
          <w:shd w:val="clear" w:color="auto" w:fill="FFFFFF"/>
          <w:lang w:val="en-US"/>
        </w:rPr>
        <w:t xml:space="preserve">                    </w:t>
      </w:r>
      <w:r>
        <w:rPr>
          <w:rFonts w:ascii="Times New Roman" w:eastAsia="仿宋_GB2312"/>
          <w:color w:val="000000"/>
          <w:spacing w:val="-8"/>
          <w:sz w:val="24"/>
          <w:szCs w:val="24"/>
          <w:highlight w:val="none"/>
          <w:shd w:val="clear" w:color="auto" w:fill="FFFFFF"/>
        </w:rPr>
        <w:t xml:space="preserve">                日期： </w:t>
      </w:r>
      <w:r>
        <w:rPr>
          <w:rFonts w:hint="default" w:ascii="Times New Roman" w:eastAsia="仿宋_GB2312"/>
          <w:color w:val="000000"/>
          <w:spacing w:val="-8"/>
          <w:sz w:val="24"/>
          <w:szCs w:val="24"/>
          <w:highlight w:val="none"/>
          <w:shd w:val="clear" w:color="auto" w:fill="FFFFFF"/>
          <w:lang w:val="en-US"/>
        </w:rPr>
        <w:t xml:space="preserve"> </w:t>
      </w:r>
      <w:r>
        <w:rPr>
          <w:rFonts w:ascii="Times New Roman" w:eastAsia="仿宋_GB2312"/>
          <w:color w:val="000000"/>
          <w:spacing w:val="-8"/>
          <w:sz w:val="24"/>
          <w:szCs w:val="24"/>
          <w:highlight w:val="none"/>
          <w:shd w:val="clear" w:color="auto" w:fill="FFFFFF"/>
        </w:rPr>
        <w:t>年</w:t>
      </w:r>
      <w:r>
        <w:rPr>
          <w:rFonts w:hint="default" w:ascii="Times New Roman" w:eastAsia="仿宋_GB2312"/>
          <w:color w:val="000000"/>
          <w:spacing w:val="-8"/>
          <w:sz w:val="24"/>
          <w:szCs w:val="24"/>
          <w:highlight w:val="none"/>
          <w:shd w:val="clear" w:color="auto" w:fill="FFFFFF"/>
          <w:lang w:val="en-US"/>
        </w:rPr>
        <w:t xml:space="preserve"> </w:t>
      </w:r>
      <w:r>
        <w:rPr>
          <w:rFonts w:ascii="Times New Roman" w:eastAsia="仿宋_GB2312"/>
          <w:color w:val="000000"/>
          <w:spacing w:val="-8"/>
          <w:sz w:val="24"/>
          <w:szCs w:val="24"/>
          <w:highlight w:val="none"/>
          <w:shd w:val="clear" w:color="auto" w:fill="FFFFFF"/>
        </w:rPr>
        <w:t xml:space="preserve"> 月  日</w:t>
      </w:r>
    </w:p>
    <w:tbl>
      <w:tblPr>
        <w:tblStyle w:val="15"/>
        <w:tblW w:w="947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359"/>
        <w:gridCol w:w="1559"/>
        <w:gridCol w:w="649"/>
        <w:gridCol w:w="1050"/>
        <w:gridCol w:w="1275"/>
        <w:gridCol w:w="1416"/>
        <w:gridCol w:w="11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jc w:val="center"/>
        </w:trPr>
        <w:tc>
          <w:tcPr>
            <w:tcW w:w="2359" w:type="dxa"/>
            <w:shd w:val="clear" w:color="auto" w:fill="auto"/>
            <w:tcMar>
              <w:left w:w="108" w:type="dxa"/>
              <w:right w:w="108" w:type="dxa"/>
            </w:tcMar>
            <w:vAlign w:val="center"/>
          </w:tcPr>
          <w:p>
            <w:pPr>
              <w:widowControl/>
              <w:spacing w:line="320" w:lineRule="exact"/>
              <w:ind w:firstLine="0"/>
              <w:jc w:val="center"/>
              <w:rPr>
                <w:rFonts w:ascii="Times New Roman" w:eastAsia="仿宋_GB2312"/>
                <w:color w:val="000000"/>
                <w:sz w:val="24"/>
                <w:szCs w:val="24"/>
                <w:highlight w:val="none"/>
              </w:rPr>
            </w:pPr>
            <w:r>
              <w:rPr>
                <w:rFonts w:ascii="Times New Roman" w:eastAsia="仿宋_GB2312"/>
                <w:color w:val="000000"/>
                <w:sz w:val="24"/>
                <w:szCs w:val="24"/>
                <w:highlight w:val="none"/>
              </w:rPr>
              <w:t>单位性质</w:t>
            </w:r>
          </w:p>
        </w:tc>
        <w:tc>
          <w:tcPr>
            <w:tcW w:w="2208" w:type="dxa"/>
            <w:gridSpan w:val="2"/>
            <w:shd w:val="clear" w:color="auto" w:fill="auto"/>
            <w:vAlign w:val="center"/>
          </w:tcPr>
          <w:p>
            <w:pPr>
              <w:widowControl/>
              <w:spacing w:line="320" w:lineRule="exact"/>
              <w:ind w:firstLine="0"/>
              <w:jc w:val="center"/>
              <w:rPr>
                <w:rFonts w:ascii="Times New Roman" w:eastAsia="仿宋_GB2312"/>
                <w:color w:val="000000"/>
                <w:sz w:val="24"/>
                <w:szCs w:val="24"/>
                <w:highlight w:val="none"/>
              </w:rPr>
            </w:pPr>
          </w:p>
        </w:tc>
        <w:tc>
          <w:tcPr>
            <w:tcW w:w="2325" w:type="dxa"/>
            <w:gridSpan w:val="2"/>
            <w:shd w:val="clear" w:color="auto" w:fill="auto"/>
            <w:vAlign w:val="center"/>
          </w:tcPr>
          <w:p>
            <w:pPr>
              <w:widowControl/>
              <w:spacing w:line="320" w:lineRule="exact"/>
              <w:ind w:firstLine="0"/>
              <w:jc w:val="center"/>
              <w:rPr>
                <w:rFonts w:ascii="Times New Roman" w:eastAsia="仿宋_GB2312"/>
                <w:color w:val="000000"/>
                <w:sz w:val="24"/>
                <w:szCs w:val="24"/>
                <w:highlight w:val="none"/>
              </w:rPr>
            </w:pPr>
            <w:r>
              <w:rPr>
                <w:rFonts w:ascii="Times New Roman" w:eastAsia="仿宋_GB2312"/>
                <w:color w:val="000000"/>
                <w:sz w:val="24"/>
                <w:szCs w:val="24"/>
                <w:highlight w:val="none"/>
              </w:rPr>
              <w:t>组织机构或</w:t>
            </w:r>
          </w:p>
          <w:p>
            <w:pPr>
              <w:widowControl/>
              <w:spacing w:line="320" w:lineRule="exact"/>
              <w:ind w:firstLine="0"/>
              <w:jc w:val="center"/>
              <w:rPr>
                <w:rFonts w:ascii="Times New Roman" w:eastAsia="仿宋_GB2312"/>
                <w:color w:val="000000"/>
                <w:sz w:val="24"/>
                <w:szCs w:val="24"/>
                <w:highlight w:val="none"/>
              </w:rPr>
            </w:pPr>
            <w:r>
              <w:rPr>
                <w:rFonts w:ascii="Times New Roman" w:eastAsia="仿宋_GB2312"/>
                <w:color w:val="000000"/>
                <w:sz w:val="24"/>
                <w:szCs w:val="24"/>
                <w:highlight w:val="none"/>
              </w:rPr>
              <w:t>社会信用代码</w:t>
            </w:r>
          </w:p>
        </w:tc>
        <w:tc>
          <w:tcPr>
            <w:tcW w:w="2584" w:type="dxa"/>
            <w:gridSpan w:val="2"/>
            <w:shd w:val="clear" w:color="auto" w:fill="auto"/>
            <w:vAlign w:val="center"/>
          </w:tcPr>
          <w:p>
            <w:pPr>
              <w:widowControl/>
              <w:spacing w:line="320" w:lineRule="exact"/>
              <w:ind w:firstLine="0"/>
              <w:jc w:val="center"/>
              <w:rPr>
                <w:rFonts w:ascii="Times New Roman" w:eastAsia="仿宋_GB2312"/>
                <w:color w:val="00000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jc w:val="center"/>
        </w:trPr>
        <w:tc>
          <w:tcPr>
            <w:tcW w:w="2359" w:type="dxa"/>
            <w:shd w:val="clear" w:color="auto" w:fill="auto"/>
            <w:tcMar>
              <w:left w:w="108" w:type="dxa"/>
              <w:right w:w="108" w:type="dxa"/>
            </w:tcMar>
            <w:vAlign w:val="center"/>
          </w:tcPr>
          <w:p>
            <w:pPr>
              <w:widowControl/>
              <w:spacing w:line="320" w:lineRule="exact"/>
              <w:ind w:firstLine="0"/>
              <w:jc w:val="center"/>
              <w:rPr>
                <w:rFonts w:ascii="Times New Roman" w:eastAsia="仿宋_GB2312"/>
                <w:color w:val="000000"/>
                <w:sz w:val="24"/>
                <w:szCs w:val="24"/>
                <w:highlight w:val="none"/>
              </w:rPr>
            </w:pPr>
            <w:r>
              <w:rPr>
                <w:rFonts w:ascii="Times New Roman" w:eastAsia="仿宋_GB2312"/>
                <w:color w:val="000000"/>
                <w:sz w:val="24"/>
                <w:szCs w:val="24"/>
                <w:highlight w:val="none"/>
              </w:rPr>
              <w:t>负 责 人</w:t>
            </w:r>
          </w:p>
        </w:tc>
        <w:tc>
          <w:tcPr>
            <w:tcW w:w="2208" w:type="dxa"/>
            <w:gridSpan w:val="2"/>
            <w:shd w:val="clear" w:color="auto" w:fill="auto"/>
            <w:vAlign w:val="center"/>
          </w:tcPr>
          <w:p>
            <w:pPr>
              <w:widowControl/>
              <w:spacing w:line="320" w:lineRule="exact"/>
              <w:ind w:firstLine="0"/>
              <w:jc w:val="center"/>
              <w:rPr>
                <w:rFonts w:ascii="Times New Roman" w:eastAsia="仿宋_GB2312"/>
                <w:color w:val="000000"/>
                <w:sz w:val="24"/>
                <w:szCs w:val="24"/>
                <w:highlight w:val="none"/>
              </w:rPr>
            </w:pPr>
          </w:p>
        </w:tc>
        <w:tc>
          <w:tcPr>
            <w:tcW w:w="2325" w:type="dxa"/>
            <w:gridSpan w:val="2"/>
            <w:shd w:val="clear" w:color="auto" w:fill="auto"/>
            <w:vAlign w:val="center"/>
          </w:tcPr>
          <w:p>
            <w:pPr>
              <w:widowControl/>
              <w:spacing w:line="320" w:lineRule="exact"/>
              <w:ind w:firstLine="0"/>
              <w:jc w:val="center"/>
              <w:rPr>
                <w:rFonts w:ascii="Times New Roman" w:eastAsia="仿宋_GB2312"/>
                <w:color w:val="000000"/>
                <w:sz w:val="24"/>
                <w:szCs w:val="24"/>
                <w:highlight w:val="none"/>
              </w:rPr>
            </w:pPr>
            <w:r>
              <w:rPr>
                <w:rFonts w:ascii="Times New Roman" w:eastAsia="仿宋_GB2312"/>
                <w:color w:val="000000"/>
                <w:sz w:val="24"/>
                <w:szCs w:val="24"/>
                <w:highlight w:val="none"/>
              </w:rPr>
              <w:t>联系电话</w:t>
            </w:r>
          </w:p>
        </w:tc>
        <w:tc>
          <w:tcPr>
            <w:tcW w:w="2584" w:type="dxa"/>
            <w:gridSpan w:val="2"/>
            <w:shd w:val="clear" w:color="auto" w:fill="auto"/>
            <w:vAlign w:val="center"/>
          </w:tcPr>
          <w:p>
            <w:pPr>
              <w:widowControl/>
              <w:spacing w:line="320" w:lineRule="exact"/>
              <w:ind w:firstLine="0"/>
              <w:jc w:val="center"/>
              <w:rPr>
                <w:rFonts w:ascii="Times New Roman" w:eastAsia="仿宋_GB2312"/>
                <w:color w:val="00000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jc w:val="center"/>
        </w:trPr>
        <w:tc>
          <w:tcPr>
            <w:tcW w:w="2359" w:type="dxa"/>
            <w:shd w:val="clear" w:color="auto" w:fill="auto"/>
            <w:tcMar>
              <w:left w:w="108" w:type="dxa"/>
              <w:right w:w="108" w:type="dxa"/>
            </w:tcMar>
            <w:vAlign w:val="center"/>
          </w:tcPr>
          <w:p>
            <w:pPr>
              <w:widowControl/>
              <w:spacing w:line="320" w:lineRule="exact"/>
              <w:ind w:firstLine="0"/>
              <w:jc w:val="center"/>
              <w:rPr>
                <w:rFonts w:ascii="Times New Roman" w:eastAsia="仿宋_GB2312"/>
                <w:color w:val="000000"/>
                <w:sz w:val="24"/>
                <w:szCs w:val="24"/>
                <w:highlight w:val="none"/>
              </w:rPr>
            </w:pPr>
            <w:r>
              <w:rPr>
                <w:rFonts w:ascii="Times New Roman" w:eastAsia="仿宋_GB2312"/>
                <w:color w:val="000000"/>
                <w:sz w:val="24"/>
                <w:szCs w:val="24"/>
                <w:highlight w:val="none"/>
              </w:rPr>
              <w:t>联 系 人</w:t>
            </w:r>
          </w:p>
        </w:tc>
        <w:tc>
          <w:tcPr>
            <w:tcW w:w="2208" w:type="dxa"/>
            <w:gridSpan w:val="2"/>
            <w:shd w:val="clear" w:color="auto" w:fill="auto"/>
            <w:vAlign w:val="center"/>
          </w:tcPr>
          <w:p>
            <w:pPr>
              <w:widowControl/>
              <w:spacing w:line="320" w:lineRule="exact"/>
              <w:ind w:firstLine="0"/>
              <w:jc w:val="center"/>
              <w:rPr>
                <w:rFonts w:ascii="Times New Roman" w:eastAsia="仿宋_GB2312"/>
                <w:color w:val="000000"/>
                <w:sz w:val="24"/>
                <w:szCs w:val="24"/>
                <w:highlight w:val="none"/>
              </w:rPr>
            </w:pPr>
          </w:p>
        </w:tc>
        <w:tc>
          <w:tcPr>
            <w:tcW w:w="2325" w:type="dxa"/>
            <w:gridSpan w:val="2"/>
            <w:shd w:val="clear" w:color="auto" w:fill="auto"/>
            <w:vAlign w:val="center"/>
          </w:tcPr>
          <w:p>
            <w:pPr>
              <w:widowControl/>
              <w:spacing w:line="320" w:lineRule="exact"/>
              <w:ind w:firstLine="0"/>
              <w:jc w:val="center"/>
              <w:rPr>
                <w:rFonts w:ascii="Times New Roman" w:eastAsia="仿宋_GB2312"/>
                <w:color w:val="000000"/>
                <w:sz w:val="24"/>
                <w:szCs w:val="24"/>
                <w:highlight w:val="none"/>
              </w:rPr>
            </w:pPr>
            <w:r>
              <w:rPr>
                <w:rFonts w:ascii="Times New Roman" w:eastAsia="仿宋_GB2312"/>
                <w:color w:val="000000"/>
                <w:sz w:val="24"/>
                <w:szCs w:val="24"/>
                <w:highlight w:val="none"/>
              </w:rPr>
              <w:t>联系电话</w:t>
            </w:r>
          </w:p>
        </w:tc>
        <w:tc>
          <w:tcPr>
            <w:tcW w:w="2584" w:type="dxa"/>
            <w:gridSpan w:val="2"/>
            <w:shd w:val="clear" w:color="auto" w:fill="auto"/>
            <w:vAlign w:val="center"/>
          </w:tcPr>
          <w:p>
            <w:pPr>
              <w:widowControl/>
              <w:spacing w:line="320" w:lineRule="exact"/>
              <w:ind w:firstLine="0"/>
              <w:jc w:val="center"/>
              <w:rPr>
                <w:rFonts w:ascii="Times New Roman" w:eastAsia="仿宋_GB2312"/>
                <w:color w:val="00000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jc w:val="center"/>
        </w:trPr>
        <w:tc>
          <w:tcPr>
            <w:tcW w:w="2359" w:type="dxa"/>
            <w:shd w:val="clear" w:color="auto" w:fill="auto"/>
            <w:tcMar>
              <w:left w:w="108" w:type="dxa"/>
              <w:right w:w="108" w:type="dxa"/>
            </w:tcMar>
            <w:vAlign w:val="center"/>
          </w:tcPr>
          <w:p>
            <w:pPr>
              <w:widowControl/>
              <w:spacing w:line="320" w:lineRule="exact"/>
              <w:ind w:firstLine="0"/>
              <w:jc w:val="center"/>
              <w:rPr>
                <w:rFonts w:ascii="Times New Roman" w:eastAsia="仿宋_GB2312"/>
                <w:color w:val="000000"/>
                <w:sz w:val="24"/>
                <w:szCs w:val="24"/>
                <w:highlight w:val="none"/>
              </w:rPr>
            </w:pPr>
            <w:r>
              <w:rPr>
                <w:rFonts w:ascii="Times New Roman" w:eastAsia="仿宋_GB2312"/>
                <w:color w:val="000000"/>
                <w:sz w:val="24"/>
                <w:szCs w:val="24"/>
                <w:highlight w:val="none"/>
              </w:rPr>
              <w:t>单位地址</w:t>
            </w:r>
          </w:p>
        </w:tc>
        <w:tc>
          <w:tcPr>
            <w:tcW w:w="2208" w:type="dxa"/>
            <w:gridSpan w:val="2"/>
            <w:shd w:val="clear" w:color="auto" w:fill="auto"/>
            <w:vAlign w:val="center"/>
          </w:tcPr>
          <w:p>
            <w:pPr>
              <w:widowControl/>
              <w:spacing w:line="320" w:lineRule="exact"/>
              <w:ind w:firstLine="0"/>
              <w:jc w:val="center"/>
              <w:rPr>
                <w:rFonts w:ascii="Times New Roman" w:eastAsia="仿宋_GB2312"/>
                <w:color w:val="000000"/>
                <w:sz w:val="24"/>
                <w:szCs w:val="24"/>
                <w:highlight w:val="none"/>
              </w:rPr>
            </w:pPr>
          </w:p>
        </w:tc>
        <w:tc>
          <w:tcPr>
            <w:tcW w:w="2325" w:type="dxa"/>
            <w:gridSpan w:val="2"/>
            <w:shd w:val="clear" w:color="auto" w:fill="auto"/>
            <w:vAlign w:val="center"/>
          </w:tcPr>
          <w:p>
            <w:pPr>
              <w:widowControl/>
              <w:spacing w:line="320" w:lineRule="exact"/>
              <w:ind w:firstLine="0"/>
              <w:jc w:val="center"/>
              <w:rPr>
                <w:rFonts w:ascii="Times New Roman" w:eastAsia="仿宋_GB2312"/>
                <w:color w:val="000000"/>
                <w:sz w:val="24"/>
                <w:szCs w:val="24"/>
                <w:highlight w:val="none"/>
              </w:rPr>
            </w:pPr>
            <w:r>
              <w:rPr>
                <w:rFonts w:ascii="Times New Roman" w:eastAsia="仿宋_GB2312"/>
                <w:color w:val="000000"/>
                <w:sz w:val="24"/>
                <w:szCs w:val="24"/>
                <w:highlight w:val="none"/>
              </w:rPr>
              <w:t>公墓属性</w:t>
            </w:r>
          </w:p>
        </w:tc>
        <w:tc>
          <w:tcPr>
            <w:tcW w:w="2584" w:type="dxa"/>
            <w:gridSpan w:val="2"/>
            <w:shd w:val="clear" w:color="auto" w:fill="auto"/>
            <w:vAlign w:val="center"/>
          </w:tcPr>
          <w:p>
            <w:pPr>
              <w:widowControl/>
              <w:spacing w:line="320" w:lineRule="exact"/>
              <w:ind w:firstLine="0"/>
              <w:jc w:val="center"/>
              <w:rPr>
                <w:rFonts w:ascii="Times New Roman" w:eastAsia="仿宋_GB2312"/>
                <w:color w:val="00000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jc w:val="center"/>
        </w:trPr>
        <w:tc>
          <w:tcPr>
            <w:tcW w:w="2359" w:type="dxa"/>
            <w:shd w:val="clear" w:color="auto" w:fill="auto"/>
            <w:tcMar>
              <w:left w:w="108" w:type="dxa"/>
              <w:right w:w="108" w:type="dxa"/>
            </w:tcMar>
            <w:vAlign w:val="center"/>
          </w:tcPr>
          <w:p>
            <w:pPr>
              <w:widowControl/>
              <w:spacing w:line="320" w:lineRule="exact"/>
              <w:ind w:firstLine="0"/>
              <w:jc w:val="center"/>
              <w:rPr>
                <w:rFonts w:ascii="Times New Roman" w:eastAsia="仿宋_GB2312"/>
                <w:color w:val="000000"/>
                <w:sz w:val="24"/>
                <w:szCs w:val="24"/>
                <w:highlight w:val="none"/>
              </w:rPr>
            </w:pPr>
            <w:r>
              <w:rPr>
                <w:rFonts w:ascii="Times New Roman" w:eastAsia="仿宋_GB2312"/>
                <w:color w:val="000000"/>
                <w:sz w:val="24"/>
                <w:szCs w:val="24"/>
                <w:highlight w:val="none"/>
              </w:rPr>
              <w:t>公墓名称</w:t>
            </w:r>
          </w:p>
        </w:tc>
        <w:tc>
          <w:tcPr>
            <w:tcW w:w="2208" w:type="dxa"/>
            <w:gridSpan w:val="2"/>
            <w:shd w:val="clear" w:color="auto" w:fill="auto"/>
            <w:vAlign w:val="center"/>
          </w:tcPr>
          <w:p>
            <w:pPr>
              <w:widowControl/>
              <w:spacing w:line="320" w:lineRule="exact"/>
              <w:ind w:firstLine="0"/>
              <w:jc w:val="center"/>
              <w:rPr>
                <w:rFonts w:ascii="Times New Roman" w:eastAsia="仿宋_GB2312"/>
                <w:color w:val="000000"/>
                <w:sz w:val="24"/>
                <w:szCs w:val="24"/>
                <w:highlight w:val="none"/>
              </w:rPr>
            </w:pPr>
          </w:p>
        </w:tc>
        <w:tc>
          <w:tcPr>
            <w:tcW w:w="2325" w:type="dxa"/>
            <w:gridSpan w:val="2"/>
            <w:shd w:val="clear" w:color="auto" w:fill="auto"/>
            <w:vAlign w:val="center"/>
          </w:tcPr>
          <w:p>
            <w:pPr>
              <w:widowControl/>
              <w:spacing w:line="320" w:lineRule="exact"/>
              <w:ind w:firstLine="0"/>
              <w:jc w:val="center"/>
              <w:rPr>
                <w:rFonts w:ascii="Times New Roman" w:eastAsia="仿宋_GB2312"/>
                <w:color w:val="000000"/>
                <w:sz w:val="24"/>
                <w:szCs w:val="24"/>
                <w:highlight w:val="none"/>
              </w:rPr>
            </w:pPr>
            <w:r>
              <w:rPr>
                <w:rFonts w:ascii="Times New Roman" w:eastAsia="仿宋_GB2312"/>
                <w:color w:val="000000"/>
                <w:sz w:val="24"/>
                <w:szCs w:val="24"/>
                <w:highlight w:val="none"/>
              </w:rPr>
              <w:t>公墓位置</w:t>
            </w:r>
          </w:p>
        </w:tc>
        <w:tc>
          <w:tcPr>
            <w:tcW w:w="2584" w:type="dxa"/>
            <w:gridSpan w:val="2"/>
            <w:shd w:val="clear" w:color="auto" w:fill="auto"/>
            <w:vAlign w:val="center"/>
          </w:tcPr>
          <w:p>
            <w:pPr>
              <w:widowControl/>
              <w:spacing w:line="320" w:lineRule="exact"/>
              <w:ind w:firstLine="0"/>
              <w:jc w:val="center"/>
              <w:rPr>
                <w:rFonts w:ascii="Times New Roman" w:eastAsia="仿宋_GB2312"/>
                <w:color w:val="000000"/>
                <w:sz w:val="24"/>
                <w:szCs w:val="24"/>
                <w:highlight w:val="none"/>
              </w:rPr>
            </w:pPr>
            <w:r>
              <w:rPr>
                <w:rFonts w:ascii="Times New Roman" w:eastAsia="仿宋_GB2312"/>
                <w:color w:val="000000"/>
                <w:sz w:val="24"/>
                <w:szCs w:val="24"/>
                <w:highlight w:val="none"/>
              </w:rPr>
              <w:t>□乡镇  □城市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43" w:hRule="atLeast"/>
          <w:jc w:val="center"/>
        </w:trPr>
        <w:tc>
          <w:tcPr>
            <w:tcW w:w="2359" w:type="dxa"/>
            <w:shd w:val="clear" w:color="auto" w:fill="auto"/>
            <w:tcMar>
              <w:left w:w="108" w:type="dxa"/>
              <w:right w:w="108" w:type="dxa"/>
            </w:tcMar>
            <w:vAlign w:val="center"/>
          </w:tcPr>
          <w:p>
            <w:pPr>
              <w:widowControl/>
              <w:spacing w:line="320" w:lineRule="exact"/>
              <w:ind w:firstLine="0"/>
              <w:jc w:val="center"/>
              <w:rPr>
                <w:rFonts w:ascii="Times New Roman" w:eastAsia="仿宋_GB2312"/>
                <w:color w:val="000000"/>
                <w:sz w:val="24"/>
                <w:szCs w:val="24"/>
                <w:highlight w:val="none"/>
              </w:rPr>
            </w:pPr>
            <w:r>
              <w:rPr>
                <w:rFonts w:ascii="Times New Roman" w:eastAsia="仿宋_GB2312"/>
                <w:color w:val="000000"/>
                <w:sz w:val="24"/>
                <w:szCs w:val="24"/>
                <w:highlight w:val="none"/>
              </w:rPr>
              <w:t>备案事项</w:t>
            </w:r>
          </w:p>
        </w:tc>
        <w:tc>
          <w:tcPr>
            <w:tcW w:w="7117" w:type="dxa"/>
            <w:gridSpan w:val="6"/>
            <w:shd w:val="clear" w:color="auto" w:fill="auto"/>
            <w:vAlign w:val="center"/>
          </w:tcPr>
          <w:p>
            <w:pPr>
              <w:widowControl/>
              <w:spacing w:line="320" w:lineRule="exact"/>
              <w:ind w:firstLine="0"/>
              <w:jc w:val="left"/>
              <w:rPr>
                <w:rFonts w:ascii="Times New Roman" w:eastAsia="仿宋_GB2312"/>
                <w:color w:val="000000"/>
                <w:sz w:val="24"/>
                <w:szCs w:val="24"/>
                <w:highlight w:val="none"/>
              </w:rPr>
            </w:pPr>
            <w:r>
              <w:rPr>
                <w:rFonts w:ascii="Times New Roman" w:eastAsia="仿宋_GB2312"/>
                <w:color w:val="000000"/>
                <w:sz w:val="24"/>
                <w:szCs w:val="24"/>
                <w:highlight w:val="none"/>
              </w:rPr>
              <w:t>1.□政府划拨土地的经营性公墓墓（格）葬费</w:t>
            </w:r>
          </w:p>
          <w:p>
            <w:pPr>
              <w:widowControl/>
              <w:spacing w:line="320" w:lineRule="exact"/>
              <w:ind w:firstLine="0"/>
              <w:jc w:val="left"/>
              <w:rPr>
                <w:rFonts w:ascii="Times New Roman" w:eastAsia="仿宋_GB2312"/>
                <w:color w:val="000000"/>
                <w:sz w:val="24"/>
                <w:szCs w:val="24"/>
                <w:highlight w:val="none"/>
              </w:rPr>
            </w:pPr>
            <w:r>
              <w:rPr>
                <w:rFonts w:ascii="Times New Roman" w:eastAsia="仿宋_GB2312"/>
                <w:color w:val="000000"/>
                <w:sz w:val="24"/>
                <w:szCs w:val="24"/>
                <w:highlight w:val="none"/>
              </w:rPr>
              <w:t>2.□租用土地的经营性公墓墓（格）葬费</w:t>
            </w:r>
          </w:p>
          <w:p>
            <w:pPr>
              <w:widowControl/>
              <w:spacing w:line="320" w:lineRule="exact"/>
              <w:ind w:firstLine="0"/>
              <w:jc w:val="left"/>
              <w:rPr>
                <w:rFonts w:ascii="Times New Roman" w:eastAsia="仿宋_GB2312"/>
                <w:color w:val="000000"/>
                <w:sz w:val="24"/>
                <w:szCs w:val="24"/>
                <w:highlight w:val="none"/>
              </w:rPr>
            </w:pPr>
            <w:r>
              <w:rPr>
                <w:rFonts w:ascii="Times New Roman" w:eastAsia="仿宋_GB2312"/>
                <w:color w:val="000000"/>
                <w:sz w:val="24"/>
                <w:szCs w:val="24"/>
                <w:highlight w:val="none"/>
              </w:rPr>
              <w:t>3.□土地使用权为购买等其他方式获得的经营性公墓（格）墓葬费</w:t>
            </w:r>
          </w:p>
          <w:p>
            <w:pPr>
              <w:widowControl/>
              <w:spacing w:line="320" w:lineRule="exact"/>
              <w:ind w:firstLine="0"/>
              <w:jc w:val="left"/>
              <w:rPr>
                <w:rFonts w:ascii="Times New Roman" w:eastAsia="仿宋_GB2312"/>
                <w:color w:val="000000"/>
                <w:sz w:val="24"/>
                <w:szCs w:val="24"/>
                <w:highlight w:val="none"/>
              </w:rPr>
            </w:pPr>
            <w:r>
              <w:rPr>
                <w:rFonts w:ascii="Times New Roman" w:eastAsia="仿宋_GB2312"/>
                <w:color w:val="000000"/>
                <w:sz w:val="24"/>
                <w:szCs w:val="24"/>
                <w:highlight w:val="none"/>
              </w:rPr>
              <w:t>4.□公益性公墓墓（格）葬费</w:t>
            </w:r>
          </w:p>
          <w:p>
            <w:pPr>
              <w:widowControl/>
              <w:spacing w:line="320" w:lineRule="exact"/>
              <w:ind w:firstLine="0"/>
              <w:jc w:val="left"/>
              <w:rPr>
                <w:rFonts w:ascii="Times New Roman" w:eastAsia="仿宋_GB2312"/>
                <w:color w:val="000000"/>
                <w:sz w:val="24"/>
                <w:szCs w:val="24"/>
                <w:highlight w:val="none"/>
              </w:rPr>
            </w:pPr>
            <w:r>
              <w:rPr>
                <w:rFonts w:ascii="Times New Roman" w:eastAsia="仿宋_GB2312"/>
                <w:color w:val="000000"/>
                <w:sz w:val="24"/>
                <w:szCs w:val="24"/>
                <w:highlight w:val="none"/>
              </w:rPr>
              <w:t>5.□公墓维护管理费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3" w:hRule="atLeast"/>
          <w:jc w:val="center"/>
        </w:trPr>
        <w:tc>
          <w:tcPr>
            <w:tcW w:w="2359" w:type="dxa"/>
            <w:vMerge w:val="restart"/>
            <w:shd w:val="clear" w:color="auto" w:fill="auto"/>
            <w:tcMar>
              <w:left w:w="108" w:type="dxa"/>
              <w:right w:w="108" w:type="dxa"/>
            </w:tcMar>
            <w:vAlign w:val="center"/>
          </w:tcPr>
          <w:p>
            <w:pPr>
              <w:widowControl/>
              <w:spacing w:line="320" w:lineRule="exact"/>
              <w:ind w:firstLine="0"/>
              <w:jc w:val="center"/>
              <w:rPr>
                <w:rFonts w:ascii="Times New Roman" w:eastAsia="仿宋_GB2312"/>
                <w:color w:val="000000"/>
                <w:sz w:val="24"/>
                <w:szCs w:val="24"/>
                <w:highlight w:val="none"/>
              </w:rPr>
            </w:pPr>
            <w:r>
              <w:rPr>
                <w:rFonts w:ascii="Times New Roman" w:hAnsi="黑体" w:eastAsia="黑体"/>
                <w:color w:val="000000"/>
                <w:sz w:val="24"/>
                <w:szCs w:val="24"/>
                <w:highlight w:val="none"/>
              </w:rPr>
              <w:t>公墓墓（格）葬费</w:t>
            </w:r>
          </w:p>
        </w:tc>
        <w:tc>
          <w:tcPr>
            <w:tcW w:w="1559" w:type="dxa"/>
            <w:shd w:val="clear" w:color="auto" w:fill="auto"/>
            <w:vAlign w:val="center"/>
          </w:tcPr>
          <w:p>
            <w:pPr>
              <w:widowControl/>
              <w:spacing w:line="320" w:lineRule="exact"/>
              <w:ind w:firstLine="0"/>
              <w:jc w:val="center"/>
              <w:rPr>
                <w:rFonts w:ascii="Times New Roman" w:eastAsia="仿宋_GB2312"/>
                <w:color w:val="000000"/>
                <w:sz w:val="24"/>
                <w:szCs w:val="24"/>
                <w:highlight w:val="none"/>
              </w:rPr>
            </w:pPr>
            <w:r>
              <w:rPr>
                <w:rFonts w:ascii="Times New Roman" w:eastAsia="仿宋_GB2312"/>
                <w:color w:val="000000"/>
                <w:sz w:val="24"/>
                <w:szCs w:val="24"/>
                <w:highlight w:val="none"/>
              </w:rPr>
              <w:t>类型</w:t>
            </w:r>
          </w:p>
        </w:tc>
        <w:tc>
          <w:tcPr>
            <w:tcW w:w="1699" w:type="dxa"/>
            <w:gridSpan w:val="2"/>
            <w:shd w:val="clear" w:color="auto" w:fill="auto"/>
            <w:vAlign w:val="center"/>
          </w:tcPr>
          <w:p>
            <w:pPr>
              <w:widowControl/>
              <w:spacing w:line="320" w:lineRule="exact"/>
              <w:ind w:firstLine="0"/>
              <w:jc w:val="center"/>
              <w:rPr>
                <w:rFonts w:ascii="Times New Roman" w:eastAsia="仿宋_GB2312"/>
                <w:color w:val="000000"/>
                <w:sz w:val="24"/>
                <w:szCs w:val="24"/>
                <w:highlight w:val="none"/>
              </w:rPr>
            </w:pPr>
            <w:r>
              <w:rPr>
                <w:rFonts w:ascii="Times New Roman" w:eastAsia="仿宋_GB2312"/>
                <w:color w:val="000000"/>
                <w:sz w:val="24"/>
                <w:szCs w:val="24"/>
                <w:highlight w:val="none"/>
              </w:rPr>
              <w:t>备案墓地数量</w:t>
            </w:r>
          </w:p>
        </w:tc>
        <w:tc>
          <w:tcPr>
            <w:tcW w:w="1275" w:type="dxa"/>
            <w:shd w:val="clear" w:color="auto" w:fill="auto"/>
            <w:vAlign w:val="center"/>
          </w:tcPr>
          <w:p>
            <w:pPr>
              <w:widowControl/>
              <w:spacing w:line="320" w:lineRule="exact"/>
              <w:ind w:firstLine="0"/>
              <w:jc w:val="center"/>
              <w:rPr>
                <w:rFonts w:ascii="Times New Roman" w:eastAsia="仿宋_GB2312"/>
                <w:color w:val="000000"/>
                <w:sz w:val="24"/>
                <w:szCs w:val="24"/>
                <w:highlight w:val="none"/>
              </w:rPr>
            </w:pPr>
            <w:r>
              <w:rPr>
                <w:rFonts w:ascii="Times New Roman" w:eastAsia="仿宋_GB2312"/>
                <w:color w:val="000000"/>
                <w:sz w:val="24"/>
                <w:szCs w:val="24"/>
                <w:highlight w:val="none"/>
              </w:rPr>
              <w:t>占地面积</w:t>
            </w:r>
          </w:p>
        </w:tc>
        <w:tc>
          <w:tcPr>
            <w:tcW w:w="1416" w:type="dxa"/>
            <w:shd w:val="clear" w:color="auto" w:fill="auto"/>
            <w:vAlign w:val="center"/>
          </w:tcPr>
          <w:p>
            <w:pPr>
              <w:widowControl/>
              <w:spacing w:line="320" w:lineRule="exact"/>
              <w:ind w:firstLine="0"/>
              <w:jc w:val="center"/>
              <w:rPr>
                <w:rFonts w:ascii="Times New Roman" w:eastAsia="仿宋_GB2312"/>
                <w:color w:val="000000"/>
                <w:sz w:val="24"/>
                <w:szCs w:val="24"/>
                <w:highlight w:val="none"/>
              </w:rPr>
            </w:pPr>
            <w:r>
              <w:rPr>
                <w:rFonts w:ascii="Times New Roman" w:eastAsia="仿宋_GB2312"/>
                <w:color w:val="000000"/>
                <w:sz w:val="24"/>
                <w:szCs w:val="24"/>
                <w:highlight w:val="none"/>
              </w:rPr>
              <w:t>备案</w:t>
            </w:r>
          </w:p>
          <w:p>
            <w:pPr>
              <w:widowControl/>
              <w:spacing w:line="320" w:lineRule="exact"/>
              <w:ind w:firstLine="0"/>
              <w:jc w:val="center"/>
              <w:rPr>
                <w:rFonts w:ascii="Times New Roman" w:eastAsia="仿宋_GB2312"/>
                <w:color w:val="000000"/>
                <w:sz w:val="24"/>
                <w:szCs w:val="24"/>
                <w:highlight w:val="none"/>
              </w:rPr>
            </w:pPr>
            <w:r>
              <w:rPr>
                <w:rFonts w:ascii="Times New Roman" w:eastAsia="仿宋_GB2312"/>
                <w:color w:val="000000"/>
                <w:sz w:val="24"/>
                <w:szCs w:val="24"/>
                <w:highlight w:val="none"/>
              </w:rPr>
              <w:t>标准</w:t>
            </w:r>
          </w:p>
        </w:tc>
        <w:tc>
          <w:tcPr>
            <w:tcW w:w="1168" w:type="dxa"/>
            <w:shd w:val="clear" w:color="auto" w:fill="auto"/>
            <w:vAlign w:val="center"/>
          </w:tcPr>
          <w:p>
            <w:pPr>
              <w:widowControl/>
              <w:spacing w:line="320" w:lineRule="exact"/>
              <w:ind w:firstLine="0"/>
              <w:jc w:val="center"/>
              <w:rPr>
                <w:rFonts w:ascii="Times New Roman" w:eastAsia="仿宋_GB2312"/>
                <w:color w:val="000000"/>
                <w:sz w:val="24"/>
                <w:szCs w:val="24"/>
                <w:highlight w:val="none"/>
              </w:rPr>
            </w:pPr>
            <w:r>
              <w:rPr>
                <w:rFonts w:ascii="Times New Roman" w:eastAsia="仿宋_GB2312"/>
                <w:color w:val="000000"/>
                <w:sz w:val="24"/>
                <w:szCs w:val="24"/>
                <w:highlight w:val="none"/>
              </w:rPr>
              <w:t>执行</w:t>
            </w:r>
          </w:p>
          <w:p>
            <w:pPr>
              <w:widowControl/>
              <w:spacing w:line="320" w:lineRule="exact"/>
              <w:ind w:firstLine="0"/>
              <w:jc w:val="center"/>
              <w:rPr>
                <w:rFonts w:ascii="Times New Roman" w:eastAsia="仿宋_GB2312"/>
                <w:color w:val="000000"/>
                <w:sz w:val="24"/>
                <w:szCs w:val="24"/>
                <w:highlight w:val="none"/>
              </w:rPr>
            </w:pPr>
            <w:r>
              <w:rPr>
                <w:rFonts w:ascii="Times New Roman" w:eastAsia="仿宋_GB2312"/>
                <w:color w:val="000000"/>
                <w:sz w:val="24"/>
                <w:szCs w:val="24"/>
                <w:highlight w:val="none"/>
              </w:rPr>
              <w:t>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2359" w:type="dxa"/>
            <w:vMerge w:val="continue"/>
            <w:shd w:val="clear" w:color="auto" w:fill="auto"/>
            <w:tcMar>
              <w:left w:w="108" w:type="dxa"/>
              <w:right w:w="108" w:type="dxa"/>
            </w:tcMar>
            <w:vAlign w:val="center"/>
          </w:tcPr>
          <w:p>
            <w:pPr>
              <w:spacing w:line="440" w:lineRule="exact"/>
              <w:ind w:firstLine="0"/>
              <w:jc w:val="center"/>
              <w:rPr>
                <w:rFonts w:ascii="Times New Roman" w:eastAsia="仿宋_GB2312"/>
                <w:sz w:val="24"/>
                <w:szCs w:val="24"/>
                <w:highlight w:val="none"/>
              </w:rPr>
            </w:pPr>
          </w:p>
        </w:tc>
        <w:tc>
          <w:tcPr>
            <w:tcW w:w="1559" w:type="dxa"/>
            <w:shd w:val="clear" w:color="auto" w:fill="auto"/>
            <w:vAlign w:val="center"/>
          </w:tcPr>
          <w:p>
            <w:pPr>
              <w:spacing w:line="440" w:lineRule="exact"/>
              <w:ind w:firstLine="0"/>
              <w:rPr>
                <w:rFonts w:ascii="Times New Roman" w:eastAsia="仿宋_GB2312"/>
                <w:sz w:val="24"/>
                <w:szCs w:val="24"/>
                <w:highlight w:val="none"/>
              </w:rPr>
            </w:pPr>
            <w:r>
              <w:rPr>
                <w:rFonts w:ascii="Times New Roman" w:eastAsia="仿宋_GB2312"/>
                <w:sz w:val="24"/>
                <w:szCs w:val="24"/>
                <w:highlight w:val="none"/>
              </w:rPr>
              <w:t>例：单穴</w:t>
            </w:r>
          </w:p>
        </w:tc>
        <w:tc>
          <w:tcPr>
            <w:tcW w:w="1699" w:type="dxa"/>
            <w:gridSpan w:val="2"/>
            <w:shd w:val="clear" w:color="auto" w:fill="auto"/>
            <w:vAlign w:val="center"/>
          </w:tcPr>
          <w:p>
            <w:pPr>
              <w:spacing w:line="440" w:lineRule="exact"/>
              <w:rPr>
                <w:rFonts w:ascii="Times New Roman" w:eastAsia="仿宋_GB2312"/>
                <w:sz w:val="24"/>
                <w:szCs w:val="24"/>
                <w:highlight w:val="none"/>
              </w:rPr>
            </w:pPr>
          </w:p>
        </w:tc>
        <w:tc>
          <w:tcPr>
            <w:tcW w:w="1275" w:type="dxa"/>
            <w:shd w:val="clear" w:color="auto" w:fill="auto"/>
            <w:vAlign w:val="center"/>
          </w:tcPr>
          <w:p>
            <w:pPr>
              <w:spacing w:line="440" w:lineRule="exact"/>
              <w:ind w:firstLine="0"/>
              <w:rPr>
                <w:rFonts w:ascii="Times New Roman" w:eastAsia="仿宋_GB2312"/>
                <w:sz w:val="24"/>
                <w:szCs w:val="24"/>
                <w:highlight w:val="none"/>
              </w:rPr>
            </w:pPr>
          </w:p>
        </w:tc>
        <w:tc>
          <w:tcPr>
            <w:tcW w:w="1416" w:type="dxa"/>
            <w:shd w:val="clear" w:color="auto" w:fill="auto"/>
            <w:vAlign w:val="center"/>
          </w:tcPr>
          <w:p>
            <w:pPr>
              <w:spacing w:line="440" w:lineRule="exact"/>
              <w:ind w:firstLine="0"/>
              <w:jc w:val="center"/>
              <w:rPr>
                <w:rFonts w:ascii="Times New Roman" w:eastAsia="仿宋_GB2312"/>
                <w:sz w:val="24"/>
                <w:szCs w:val="24"/>
                <w:highlight w:val="none"/>
              </w:rPr>
            </w:pPr>
          </w:p>
        </w:tc>
        <w:tc>
          <w:tcPr>
            <w:tcW w:w="1168" w:type="dxa"/>
            <w:shd w:val="clear" w:color="auto" w:fill="auto"/>
            <w:vAlign w:val="center"/>
          </w:tcPr>
          <w:p>
            <w:pPr>
              <w:spacing w:line="440" w:lineRule="exact"/>
              <w:ind w:firstLine="0"/>
              <w:jc w:val="center"/>
              <w:rPr>
                <w:rFonts w:ascii="Times New Roman" w:eastAsia="仿宋_GB2312"/>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2359" w:type="dxa"/>
            <w:vMerge w:val="continue"/>
            <w:shd w:val="clear" w:color="auto" w:fill="auto"/>
            <w:tcMar>
              <w:left w:w="108" w:type="dxa"/>
              <w:right w:w="108" w:type="dxa"/>
            </w:tcMar>
            <w:vAlign w:val="center"/>
          </w:tcPr>
          <w:p>
            <w:pPr>
              <w:spacing w:line="440" w:lineRule="exact"/>
              <w:ind w:firstLine="0"/>
              <w:jc w:val="center"/>
              <w:rPr>
                <w:rFonts w:ascii="Times New Roman" w:eastAsia="仿宋_GB2312"/>
                <w:sz w:val="24"/>
                <w:szCs w:val="24"/>
                <w:highlight w:val="none"/>
              </w:rPr>
            </w:pPr>
          </w:p>
        </w:tc>
        <w:tc>
          <w:tcPr>
            <w:tcW w:w="1559" w:type="dxa"/>
            <w:shd w:val="clear" w:color="auto" w:fill="auto"/>
            <w:vAlign w:val="center"/>
          </w:tcPr>
          <w:p>
            <w:pPr>
              <w:spacing w:line="440" w:lineRule="exact"/>
              <w:ind w:firstLine="0"/>
              <w:rPr>
                <w:rFonts w:ascii="Times New Roman" w:eastAsia="仿宋_GB2312"/>
                <w:sz w:val="24"/>
                <w:szCs w:val="24"/>
                <w:highlight w:val="none"/>
              </w:rPr>
            </w:pPr>
            <w:r>
              <w:rPr>
                <w:rFonts w:ascii="Times New Roman" w:eastAsia="仿宋_GB2312"/>
                <w:sz w:val="24"/>
                <w:szCs w:val="24"/>
                <w:highlight w:val="none"/>
              </w:rPr>
              <w:t>例：双穴</w:t>
            </w:r>
          </w:p>
        </w:tc>
        <w:tc>
          <w:tcPr>
            <w:tcW w:w="1699" w:type="dxa"/>
            <w:gridSpan w:val="2"/>
            <w:shd w:val="clear" w:color="auto" w:fill="auto"/>
            <w:vAlign w:val="center"/>
          </w:tcPr>
          <w:p>
            <w:pPr>
              <w:spacing w:line="440" w:lineRule="exact"/>
              <w:ind w:firstLine="0"/>
              <w:jc w:val="center"/>
              <w:rPr>
                <w:rFonts w:ascii="Times New Roman" w:eastAsia="仿宋_GB2312"/>
                <w:sz w:val="24"/>
                <w:szCs w:val="24"/>
                <w:highlight w:val="none"/>
              </w:rPr>
            </w:pPr>
          </w:p>
        </w:tc>
        <w:tc>
          <w:tcPr>
            <w:tcW w:w="1275" w:type="dxa"/>
            <w:shd w:val="clear" w:color="auto" w:fill="auto"/>
            <w:vAlign w:val="center"/>
          </w:tcPr>
          <w:p>
            <w:pPr>
              <w:spacing w:line="440" w:lineRule="exact"/>
              <w:ind w:firstLine="0"/>
              <w:jc w:val="center"/>
              <w:rPr>
                <w:rFonts w:ascii="Times New Roman" w:eastAsia="仿宋_GB2312"/>
                <w:sz w:val="24"/>
                <w:szCs w:val="24"/>
                <w:highlight w:val="none"/>
              </w:rPr>
            </w:pPr>
          </w:p>
        </w:tc>
        <w:tc>
          <w:tcPr>
            <w:tcW w:w="1416" w:type="dxa"/>
            <w:shd w:val="clear" w:color="auto" w:fill="auto"/>
            <w:vAlign w:val="center"/>
          </w:tcPr>
          <w:p>
            <w:pPr>
              <w:spacing w:line="440" w:lineRule="exact"/>
              <w:ind w:firstLine="0"/>
              <w:jc w:val="center"/>
              <w:rPr>
                <w:rFonts w:ascii="Times New Roman" w:eastAsia="仿宋_GB2312"/>
                <w:sz w:val="24"/>
                <w:szCs w:val="24"/>
                <w:highlight w:val="none"/>
              </w:rPr>
            </w:pPr>
          </w:p>
        </w:tc>
        <w:tc>
          <w:tcPr>
            <w:tcW w:w="1168" w:type="dxa"/>
            <w:shd w:val="clear" w:color="auto" w:fill="auto"/>
            <w:vAlign w:val="center"/>
          </w:tcPr>
          <w:p>
            <w:pPr>
              <w:spacing w:line="440" w:lineRule="exact"/>
              <w:ind w:firstLine="0"/>
              <w:jc w:val="center"/>
              <w:rPr>
                <w:rFonts w:ascii="Times New Roman" w:eastAsia="仿宋_GB2312"/>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2359" w:type="dxa"/>
            <w:vMerge w:val="continue"/>
            <w:shd w:val="clear" w:color="auto" w:fill="auto"/>
            <w:tcMar>
              <w:left w:w="108" w:type="dxa"/>
              <w:right w:w="108" w:type="dxa"/>
            </w:tcMar>
            <w:vAlign w:val="center"/>
          </w:tcPr>
          <w:p>
            <w:pPr>
              <w:spacing w:line="440" w:lineRule="exact"/>
              <w:ind w:firstLine="0"/>
              <w:jc w:val="center"/>
              <w:rPr>
                <w:rFonts w:ascii="Times New Roman" w:eastAsia="仿宋_GB2312"/>
                <w:sz w:val="24"/>
                <w:szCs w:val="24"/>
                <w:highlight w:val="none"/>
              </w:rPr>
            </w:pPr>
          </w:p>
        </w:tc>
        <w:tc>
          <w:tcPr>
            <w:tcW w:w="1559" w:type="dxa"/>
            <w:shd w:val="clear" w:color="auto" w:fill="auto"/>
            <w:vAlign w:val="center"/>
          </w:tcPr>
          <w:p>
            <w:pPr>
              <w:spacing w:line="440" w:lineRule="exact"/>
              <w:ind w:firstLine="0"/>
              <w:jc w:val="center"/>
              <w:rPr>
                <w:rFonts w:ascii="Times New Roman" w:eastAsia="仿宋_GB2312"/>
                <w:sz w:val="24"/>
                <w:szCs w:val="24"/>
                <w:highlight w:val="none"/>
              </w:rPr>
            </w:pPr>
            <w:r>
              <w:rPr>
                <w:rFonts w:ascii="Times New Roman" w:eastAsia="仿宋_GB2312"/>
                <w:sz w:val="24"/>
                <w:szCs w:val="24"/>
                <w:highlight w:val="none"/>
              </w:rPr>
              <w:t>……</w:t>
            </w:r>
          </w:p>
        </w:tc>
        <w:tc>
          <w:tcPr>
            <w:tcW w:w="1699" w:type="dxa"/>
            <w:gridSpan w:val="2"/>
            <w:shd w:val="clear" w:color="auto" w:fill="auto"/>
            <w:vAlign w:val="center"/>
          </w:tcPr>
          <w:p>
            <w:pPr>
              <w:spacing w:line="440" w:lineRule="exact"/>
              <w:ind w:firstLine="0"/>
              <w:jc w:val="center"/>
              <w:rPr>
                <w:rFonts w:ascii="Times New Roman" w:eastAsia="仿宋_GB2312"/>
                <w:sz w:val="24"/>
                <w:szCs w:val="24"/>
                <w:highlight w:val="none"/>
              </w:rPr>
            </w:pPr>
          </w:p>
        </w:tc>
        <w:tc>
          <w:tcPr>
            <w:tcW w:w="1275" w:type="dxa"/>
            <w:shd w:val="clear" w:color="auto" w:fill="auto"/>
            <w:vAlign w:val="center"/>
          </w:tcPr>
          <w:p>
            <w:pPr>
              <w:spacing w:line="440" w:lineRule="exact"/>
              <w:ind w:firstLine="0"/>
              <w:jc w:val="center"/>
              <w:rPr>
                <w:rFonts w:ascii="Times New Roman" w:eastAsia="仿宋_GB2312"/>
                <w:sz w:val="24"/>
                <w:szCs w:val="24"/>
                <w:highlight w:val="none"/>
              </w:rPr>
            </w:pPr>
          </w:p>
        </w:tc>
        <w:tc>
          <w:tcPr>
            <w:tcW w:w="1416" w:type="dxa"/>
            <w:shd w:val="clear" w:color="auto" w:fill="auto"/>
            <w:vAlign w:val="center"/>
          </w:tcPr>
          <w:p>
            <w:pPr>
              <w:spacing w:line="440" w:lineRule="exact"/>
              <w:ind w:firstLine="0"/>
              <w:jc w:val="center"/>
              <w:rPr>
                <w:rFonts w:ascii="Times New Roman" w:eastAsia="仿宋_GB2312"/>
                <w:sz w:val="24"/>
                <w:szCs w:val="24"/>
                <w:highlight w:val="none"/>
              </w:rPr>
            </w:pPr>
          </w:p>
        </w:tc>
        <w:tc>
          <w:tcPr>
            <w:tcW w:w="1168" w:type="dxa"/>
            <w:shd w:val="clear" w:color="auto" w:fill="auto"/>
            <w:vAlign w:val="center"/>
          </w:tcPr>
          <w:p>
            <w:pPr>
              <w:spacing w:line="440" w:lineRule="exact"/>
              <w:ind w:firstLine="0"/>
              <w:jc w:val="center"/>
              <w:rPr>
                <w:rFonts w:ascii="Times New Roman" w:eastAsia="仿宋_GB2312"/>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2359" w:type="dxa"/>
            <w:vMerge w:val="restart"/>
            <w:shd w:val="clear" w:color="auto" w:fill="auto"/>
            <w:tcMar>
              <w:left w:w="108" w:type="dxa"/>
              <w:right w:w="108" w:type="dxa"/>
            </w:tcMar>
            <w:vAlign w:val="center"/>
          </w:tcPr>
          <w:p>
            <w:pPr>
              <w:spacing w:line="440" w:lineRule="exact"/>
              <w:ind w:firstLine="0"/>
              <w:jc w:val="center"/>
              <w:rPr>
                <w:rFonts w:ascii="Times New Roman" w:eastAsia="仿宋_GB2312"/>
                <w:color w:val="000000"/>
                <w:sz w:val="24"/>
                <w:szCs w:val="24"/>
                <w:highlight w:val="none"/>
              </w:rPr>
            </w:pPr>
            <w:r>
              <w:rPr>
                <w:rFonts w:ascii="Times New Roman" w:hAnsi="黑体" w:eastAsia="黑体"/>
                <w:color w:val="000000"/>
                <w:sz w:val="24"/>
                <w:szCs w:val="24"/>
                <w:highlight w:val="none"/>
              </w:rPr>
              <w:t>公墓维护管理费</w:t>
            </w:r>
          </w:p>
        </w:tc>
        <w:tc>
          <w:tcPr>
            <w:tcW w:w="1559" w:type="dxa"/>
            <w:shd w:val="clear" w:color="auto" w:fill="auto"/>
            <w:vAlign w:val="center"/>
          </w:tcPr>
          <w:p>
            <w:pPr>
              <w:spacing w:line="440" w:lineRule="exact"/>
              <w:ind w:firstLine="0"/>
              <w:jc w:val="center"/>
              <w:rPr>
                <w:rFonts w:ascii="Times New Roman" w:eastAsia="仿宋_GB2312"/>
                <w:color w:val="000000"/>
                <w:sz w:val="24"/>
                <w:szCs w:val="24"/>
                <w:highlight w:val="none"/>
              </w:rPr>
            </w:pPr>
          </w:p>
        </w:tc>
        <w:tc>
          <w:tcPr>
            <w:tcW w:w="1699" w:type="dxa"/>
            <w:gridSpan w:val="2"/>
            <w:shd w:val="clear" w:color="auto" w:fill="auto"/>
            <w:vAlign w:val="center"/>
          </w:tcPr>
          <w:p>
            <w:pPr>
              <w:spacing w:line="440" w:lineRule="exact"/>
              <w:ind w:firstLine="0"/>
              <w:jc w:val="center"/>
              <w:rPr>
                <w:rFonts w:ascii="Times New Roman" w:eastAsia="仿宋_GB2312"/>
                <w:color w:val="000000"/>
                <w:sz w:val="24"/>
                <w:szCs w:val="24"/>
                <w:highlight w:val="none"/>
              </w:rPr>
            </w:pPr>
          </w:p>
        </w:tc>
        <w:tc>
          <w:tcPr>
            <w:tcW w:w="1275" w:type="dxa"/>
            <w:shd w:val="clear" w:color="auto" w:fill="auto"/>
            <w:vAlign w:val="center"/>
          </w:tcPr>
          <w:p>
            <w:pPr>
              <w:spacing w:line="440" w:lineRule="exact"/>
              <w:ind w:firstLine="0"/>
              <w:jc w:val="center"/>
              <w:rPr>
                <w:rFonts w:ascii="Times New Roman" w:eastAsia="仿宋_GB2312"/>
                <w:color w:val="000000"/>
                <w:sz w:val="24"/>
                <w:szCs w:val="24"/>
                <w:highlight w:val="none"/>
              </w:rPr>
            </w:pPr>
          </w:p>
        </w:tc>
        <w:tc>
          <w:tcPr>
            <w:tcW w:w="1416" w:type="dxa"/>
            <w:shd w:val="clear" w:color="auto" w:fill="auto"/>
            <w:vAlign w:val="center"/>
          </w:tcPr>
          <w:p>
            <w:pPr>
              <w:spacing w:line="440" w:lineRule="exact"/>
              <w:ind w:firstLine="0"/>
              <w:jc w:val="center"/>
              <w:rPr>
                <w:rFonts w:ascii="Times New Roman" w:eastAsia="仿宋_GB2312"/>
                <w:sz w:val="24"/>
                <w:szCs w:val="24"/>
                <w:highlight w:val="none"/>
              </w:rPr>
            </w:pPr>
          </w:p>
        </w:tc>
        <w:tc>
          <w:tcPr>
            <w:tcW w:w="1168" w:type="dxa"/>
            <w:shd w:val="clear" w:color="auto" w:fill="auto"/>
            <w:vAlign w:val="center"/>
          </w:tcPr>
          <w:p>
            <w:pPr>
              <w:spacing w:line="440" w:lineRule="exact"/>
              <w:ind w:firstLine="0"/>
              <w:jc w:val="center"/>
              <w:rPr>
                <w:rFonts w:ascii="Times New Roman" w:eastAsia="仿宋_GB2312"/>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2359" w:type="dxa"/>
            <w:vMerge w:val="continue"/>
            <w:shd w:val="clear" w:color="auto" w:fill="auto"/>
            <w:tcMar>
              <w:left w:w="108" w:type="dxa"/>
              <w:right w:w="108" w:type="dxa"/>
            </w:tcMar>
            <w:vAlign w:val="center"/>
          </w:tcPr>
          <w:p>
            <w:pPr>
              <w:spacing w:line="440" w:lineRule="exact"/>
              <w:ind w:firstLine="0"/>
              <w:jc w:val="center"/>
              <w:rPr>
                <w:rFonts w:ascii="Times New Roman" w:eastAsia="仿宋_GB2312"/>
                <w:color w:val="000000"/>
                <w:sz w:val="24"/>
                <w:szCs w:val="24"/>
                <w:highlight w:val="none"/>
              </w:rPr>
            </w:pPr>
          </w:p>
        </w:tc>
        <w:tc>
          <w:tcPr>
            <w:tcW w:w="1559" w:type="dxa"/>
            <w:shd w:val="clear" w:color="auto" w:fill="auto"/>
            <w:vAlign w:val="center"/>
          </w:tcPr>
          <w:p>
            <w:pPr>
              <w:spacing w:line="440" w:lineRule="exact"/>
              <w:ind w:firstLine="0"/>
              <w:jc w:val="center"/>
              <w:rPr>
                <w:rFonts w:ascii="Times New Roman" w:eastAsia="仿宋_GB2312"/>
                <w:color w:val="000000"/>
                <w:sz w:val="24"/>
                <w:szCs w:val="24"/>
                <w:highlight w:val="none"/>
              </w:rPr>
            </w:pPr>
          </w:p>
        </w:tc>
        <w:tc>
          <w:tcPr>
            <w:tcW w:w="1699" w:type="dxa"/>
            <w:gridSpan w:val="2"/>
            <w:shd w:val="clear" w:color="auto" w:fill="auto"/>
            <w:vAlign w:val="center"/>
          </w:tcPr>
          <w:p>
            <w:pPr>
              <w:spacing w:line="440" w:lineRule="exact"/>
              <w:ind w:firstLine="0"/>
              <w:jc w:val="center"/>
              <w:rPr>
                <w:rFonts w:ascii="Times New Roman" w:eastAsia="仿宋_GB2312"/>
                <w:color w:val="000000"/>
                <w:sz w:val="24"/>
                <w:szCs w:val="24"/>
                <w:highlight w:val="none"/>
              </w:rPr>
            </w:pPr>
          </w:p>
        </w:tc>
        <w:tc>
          <w:tcPr>
            <w:tcW w:w="1275" w:type="dxa"/>
            <w:shd w:val="clear" w:color="auto" w:fill="auto"/>
            <w:vAlign w:val="center"/>
          </w:tcPr>
          <w:p>
            <w:pPr>
              <w:spacing w:line="440" w:lineRule="exact"/>
              <w:ind w:firstLine="0"/>
              <w:jc w:val="center"/>
              <w:rPr>
                <w:rFonts w:ascii="Times New Roman" w:eastAsia="仿宋_GB2312"/>
                <w:color w:val="000000"/>
                <w:sz w:val="24"/>
                <w:szCs w:val="24"/>
                <w:highlight w:val="none"/>
              </w:rPr>
            </w:pPr>
          </w:p>
        </w:tc>
        <w:tc>
          <w:tcPr>
            <w:tcW w:w="1416" w:type="dxa"/>
            <w:shd w:val="clear" w:color="auto" w:fill="auto"/>
            <w:vAlign w:val="center"/>
          </w:tcPr>
          <w:p>
            <w:pPr>
              <w:spacing w:line="440" w:lineRule="exact"/>
              <w:ind w:firstLine="0"/>
              <w:jc w:val="center"/>
              <w:rPr>
                <w:rFonts w:ascii="Times New Roman" w:eastAsia="仿宋_GB2312"/>
                <w:sz w:val="24"/>
                <w:szCs w:val="24"/>
                <w:highlight w:val="none"/>
              </w:rPr>
            </w:pPr>
          </w:p>
        </w:tc>
        <w:tc>
          <w:tcPr>
            <w:tcW w:w="1168" w:type="dxa"/>
            <w:shd w:val="clear" w:color="auto" w:fill="auto"/>
            <w:vAlign w:val="center"/>
          </w:tcPr>
          <w:p>
            <w:pPr>
              <w:spacing w:line="440" w:lineRule="exact"/>
              <w:ind w:firstLine="0"/>
              <w:jc w:val="center"/>
              <w:rPr>
                <w:rFonts w:ascii="Times New Roman" w:eastAsia="仿宋_GB2312"/>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0" w:hRule="atLeast"/>
          <w:jc w:val="center"/>
        </w:trPr>
        <w:tc>
          <w:tcPr>
            <w:tcW w:w="2359" w:type="dxa"/>
            <w:shd w:val="clear" w:color="auto" w:fill="auto"/>
            <w:tcMar>
              <w:left w:w="108" w:type="dxa"/>
              <w:right w:w="108" w:type="dxa"/>
            </w:tcMar>
            <w:vAlign w:val="center"/>
          </w:tcPr>
          <w:p>
            <w:pPr>
              <w:spacing w:line="440" w:lineRule="exact"/>
              <w:ind w:firstLine="0"/>
              <w:jc w:val="center"/>
              <w:rPr>
                <w:rFonts w:ascii="Times New Roman" w:eastAsia="黑体"/>
                <w:sz w:val="24"/>
                <w:szCs w:val="24"/>
                <w:highlight w:val="none"/>
              </w:rPr>
            </w:pPr>
            <w:r>
              <w:rPr>
                <w:rFonts w:ascii="Times New Roman" w:hAnsi="黑体" w:eastAsia="黑体"/>
                <w:sz w:val="24"/>
                <w:szCs w:val="24"/>
                <w:highlight w:val="none"/>
              </w:rPr>
              <w:t>备注</w:t>
            </w:r>
          </w:p>
        </w:tc>
        <w:tc>
          <w:tcPr>
            <w:tcW w:w="7117" w:type="dxa"/>
            <w:gridSpan w:val="6"/>
            <w:shd w:val="clear" w:color="auto" w:fill="auto"/>
            <w:tcMar>
              <w:left w:w="108" w:type="dxa"/>
              <w:right w:w="108" w:type="dxa"/>
            </w:tcMar>
            <w:vAlign w:val="center"/>
          </w:tcPr>
          <w:p>
            <w:pPr>
              <w:spacing w:line="440" w:lineRule="exact"/>
              <w:ind w:firstLine="0"/>
              <w:jc w:val="center"/>
              <w:rPr>
                <w:rFonts w:ascii="Times New Roman" w:eastAsia="仿宋_GB2312"/>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48" w:hRule="atLeast"/>
          <w:jc w:val="center"/>
        </w:trPr>
        <w:tc>
          <w:tcPr>
            <w:tcW w:w="4567" w:type="dxa"/>
            <w:gridSpan w:val="3"/>
            <w:shd w:val="clear" w:color="auto" w:fill="auto"/>
            <w:tcMar>
              <w:left w:w="108" w:type="dxa"/>
              <w:right w:w="108" w:type="dxa"/>
            </w:tcMar>
          </w:tcPr>
          <w:p>
            <w:pPr>
              <w:spacing w:line="440" w:lineRule="exact"/>
              <w:ind w:firstLine="0"/>
              <w:jc w:val="left"/>
              <w:rPr>
                <w:rFonts w:ascii="Times New Roman" w:eastAsia="仿宋_GB2312"/>
                <w:sz w:val="24"/>
                <w:szCs w:val="24"/>
                <w:highlight w:val="none"/>
              </w:rPr>
            </w:pPr>
            <w:r>
              <w:rPr>
                <w:rFonts w:ascii="Times New Roman" w:eastAsia="仿宋_GB2312"/>
                <w:sz w:val="24"/>
                <w:szCs w:val="24"/>
                <w:highlight w:val="none"/>
              </w:rPr>
              <w:t>民政部门审核意见：</w:t>
            </w:r>
          </w:p>
          <w:p>
            <w:pPr>
              <w:spacing w:line="440" w:lineRule="exact"/>
              <w:ind w:firstLine="0"/>
              <w:jc w:val="center"/>
              <w:rPr>
                <w:rFonts w:ascii="Times New Roman" w:eastAsia="仿宋_GB2312"/>
                <w:sz w:val="24"/>
                <w:szCs w:val="24"/>
                <w:highlight w:val="none"/>
              </w:rPr>
            </w:pPr>
          </w:p>
          <w:p>
            <w:pPr>
              <w:spacing w:line="440" w:lineRule="exact"/>
              <w:ind w:firstLine="0"/>
              <w:jc w:val="center"/>
              <w:rPr>
                <w:rFonts w:ascii="Times New Roman" w:eastAsia="仿宋_GB2312"/>
                <w:sz w:val="24"/>
                <w:szCs w:val="24"/>
                <w:highlight w:val="none"/>
              </w:rPr>
            </w:pPr>
          </w:p>
          <w:p>
            <w:pPr>
              <w:spacing w:line="440" w:lineRule="exact"/>
              <w:ind w:firstLine="0"/>
              <w:jc w:val="center"/>
              <w:rPr>
                <w:rFonts w:ascii="Times New Roman" w:eastAsia="仿宋_GB2312"/>
                <w:sz w:val="24"/>
                <w:szCs w:val="24"/>
                <w:highlight w:val="none"/>
              </w:rPr>
            </w:pPr>
            <w:r>
              <w:rPr>
                <w:rFonts w:ascii="Times New Roman" w:eastAsia="仿宋_GB2312"/>
                <w:sz w:val="24"/>
                <w:szCs w:val="24"/>
                <w:highlight w:val="none"/>
              </w:rPr>
              <w:t>（盖章）</w:t>
            </w:r>
          </w:p>
          <w:p>
            <w:pPr>
              <w:spacing w:line="440" w:lineRule="exact"/>
              <w:ind w:firstLine="0"/>
              <w:jc w:val="center"/>
              <w:rPr>
                <w:rFonts w:hint="eastAsia" w:ascii="Times New Roman" w:eastAsia="仿宋_GB2312"/>
                <w:sz w:val="24"/>
                <w:szCs w:val="24"/>
                <w:highlight w:val="none"/>
                <w:lang w:eastAsia="zh-CN"/>
              </w:rPr>
            </w:pPr>
            <w:r>
              <w:rPr>
                <w:rFonts w:ascii="Times New Roman" w:eastAsia="仿宋_GB2312"/>
                <w:sz w:val="24"/>
                <w:szCs w:val="24"/>
                <w:highlight w:val="none"/>
              </w:rPr>
              <w:t>日期</w:t>
            </w:r>
            <w:r>
              <w:rPr>
                <w:rFonts w:hint="eastAsia" w:ascii="Times New Roman" w:eastAsia="仿宋_GB2312"/>
                <w:sz w:val="24"/>
                <w:szCs w:val="24"/>
                <w:highlight w:val="none"/>
                <w:lang w:eastAsia="zh-CN"/>
              </w:rPr>
              <w:t>：</w:t>
            </w:r>
          </w:p>
        </w:tc>
        <w:tc>
          <w:tcPr>
            <w:tcW w:w="4909" w:type="dxa"/>
            <w:gridSpan w:val="4"/>
            <w:shd w:val="clear" w:color="auto" w:fill="auto"/>
          </w:tcPr>
          <w:p>
            <w:pPr>
              <w:spacing w:line="440" w:lineRule="exact"/>
              <w:ind w:firstLine="0"/>
              <w:jc w:val="left"/>
              <w:rPr>
                <w:rFonts w:ascii="Times New Roman" w:eastAsia="仿宋_GB2312"/>
                <w:sz w:val="24"/>
                <w:szCs w:val="24"/>
                <w:highlight w:val="none"/>
              </w:rPr>
            </w:pPr>
            <w:r>
              <w:rPr>
                <w:rFonts w:ascii="Times New Roman" w:eastAsia="仿宋_GB2312"/>
                <w:sz w:val="24"/>
                <w:szCs w:val="24"/>
                <w:highlight w:val="none"/>
              </w:rPr>
              <w:t xml:space="preserve"> 发展改革部门审核意见：</w:t>
            </w:r>
          </w:p>
          <w:p>
            <w:pPr>
              <w:spacing w:line="440" w:lineRule="exact"/>
              <w:ind w:firstLine="0"/>
              <w:jc w:val="center"/>
              <w:rPr>
                <w:rFonts w:ascii="Times New Roman" w:eastAsia="仿宋_GB2312"/>
                <w:sz w:val="24"/>
                <w:szCs w:val="24"/>
                <w:highlight w:val="none"/>
              </w:rPr>
            </w:pPr>
          </w:p>
          <w:p>
            <w:pPr>
              <w:spacing w:line="440" w:lineRule="exact"/>
              <w:ind w:firstLine="0"/>
              <w:jc w:val="center"/>
              <w:rPr>
                <w:rFonts w:ascii="Times New Roman" w:eastAsia="仿宋_GB2312"/>
                <w:sz w:val="24"/>
                <w:szCs w:val="24"/>
                <w:highlight w:val="none"/>
              </w:rPr>
            </w:pPr>
          </w:p>
          <w:p>
            <w:pPr>
              <w:spacing w:line="440" w:lineRule="exact"/>
              <w:ind w:firstLine="0"/>
              <w:jc w:val="center"/>
              <w:rPr>
                <w:rFonts w:ascii="Times New Roman" w:eastAsia="仿宋_GB2312"/>
                <w:sz w:val="24"/>
                <w:szCs w:val="24"/>
                <w:highlight w:val="none"/>
              </w:rPr>
            </w:pPr>
            <w:r>
              <w:rPr>
                <w:rFonts w:ascii="Times New Roman" w:eastAsia="仿宋_GB2312"/>
                <w:sz w:val="24"/>
                <w:szCs w:val="24"/>
                <w:highlight w:val="none"/>
              </w:rPr>
              <w:t>（盖章）</w:t>
            </w:r>
          </w:p>
          <w:p>
            <w:pPr>
              <w:spacing w:line="440" w:lineRule="exact"/>
              <w:ind w:firstLine="0"/>
              <w:jc w:val="center"/>
              <w:rPr>
                <w:rFonts w:hint="eastAsia" w:ascii="Times New Roman" w:eastAsia="仿宋_GB2312"/>
                <w:sz w:val="24"/>
                <w:szCs w:val="24"/>
                <w:highlight w:val="none"/>
                <w:lang w:eastAsia="zh-CN"/>
              </w:rPr>
            </w:pPr>
            <w:r>
              <w:rPr>
                <w:rFonts w:ascii="Times New Roman" w:eastAsia="仿宋_GB2312"/>
                <w:sz w:val="24"/>
                <w:szCs w:val="24"/>
                <w:highlight w:val="none"/>
              </w:rPr>
              <w:t>日期</w:t>
            </w:r>
            <w:r>
              <w:rPr>
                <w:rFonts w:hint="eastAsia" w:ascii="Times New Roman" w:eastAsia="仿宋_GB2312"/>
                <w:sz w:val="24"/>
                <w:szCs w:val="24"/>
                <w:highlight w:val="none"/>
                <w:lang w:eastAsia="zh-CN"/>
              </w:rPr>
              <w:t>：</w:t>
            </w:r>
          </w:p>
        </w:tc>
      </w:tr>
    </w:tbl>
    <w:p>
      <w:pPr>
        <w:spacing w:line="320" w:lineRule="atLeast"/>
        <w:ind w:left="692" w:leftChars="37" w:hanging="576" w:hangingChars="244"/>
        <w:rPr>
          <w:rFonts w:ascii="Times New Roman" w:eastAsia="仿宋_GB2312"/>
          <w:sz w:val="24"/>
          <w:szCs w:val="24"/>
          <w:highlight w:val="none"/>
        </w:rPr>
      </w:pPr>
      <w:r>
        <w:rPr>
          <w:rFonts w:ascii="Times New Roman" w:eastAsia="仿宋_GB2312"/>
          <w:sz w:val="24"/>
          <w:szCs w:val="24"/>
          <w:highlight w:val="none"/>
        </w:rPr>
        <w:t>注：1.公墓墓（格）葬费实行一价清，墓（格）葬费之外不得再收取有关的费用。</w:t>
      </w:r>
    </w:p>
    <w:p>
      <w:pPr>
        <w:spacing w:line="320" w:lineRule="atLeast"/>
        <w:ind w:left="864" w:leftChars="200" w:hanging="232" w:hangingChars="98"/>
        <w:rPr>
          <w:rFonts w:ascii="Times New Roman" w:eastAsia="仿宋_GB2312"/>
          <w:sz w:val="24"/>
          <w:szCs w:val="24"/>
          <w:highlight w:val="none"/>
        </w:rPr>
      </w:pPr>
      <w:r>
        <w:rPr>
          <w:rFonts w:ascii="Times New Roman" w:eastAsia="仿宋_GB2312"/>
          <w:sz w:val="24"/>
          <w:szCs w:val="24"/>
          <w:highlight w:val="none"/>
        </w:rPr>
        <w:t>2.备案表一式四份，发展改革、民政部门、公墓经营单位各保存一份，抄</w:t>
      </w:r>
    </w:p>
    <w:p>
      <w:pPr>
        <w:spacing w:line="320" w:lineRule="atLeast"/>
        <w:ind w:left="807" w:leftChars="182" w:hanging="232" w:hangingChars="98"/>
        <w:rPr>
          <w:rFonts w:ascii="Times New Roman" w:eastAsia="仿宋_GB2312"/>
          <w:sz w:val="24"/>
          <w:szCs w:val="24"/>
          <w:highlight w:val="none"/>
        </w:rPr>
      </w:pPr>
      <w:r>
        <w:rPr>
          <w:rFonts w:ascii="Times New Roman" w:eastAsia="仿宋_GB2312"/>
          <w:sz w:val="24"/>
          <w:szCs w:val="24"/>
          <w:highlight w:val="none"/>
        </w:rPr>
        <w:t xml:space="preserve">  送市场监管部门一份。</w:t>
      </w:r>
    </w:p>
    <w:p>
      <w:pPr>
        <w:spacing w:line="320" w:lineRule="atLeast"/>
        <w:ind w:left="632" w:leftChars="200" w:firstLine="0"/>
        <w:rPr>
          <w:rFonts w:ascii="Times New Roman" w:eastAsia="仿宋_GB2312"/>
          <w:sz w:val="24"/>
          <w:szCs w:val="24"/>
          <w:highlight w:val="none"/>
        </w:rPr>
      </w:pPr>
      <w:r>
        <w:rPr>
          <w:rFonts w:ascii="Times New Roman" w:eastAsia="仿宋_GB2312"/>
          <w:sz w:val="24"/>
          <w:szCs w:val="24"/>
          <w:highlight w:val="none"/>
        </w:rPr>
        <w:t>3.备案收费标准应向社会公示。</w:t>
      </w:r>
    </w:p>
    <w:sectPr>
      <w:footerReference r:id="rId9" w:type="default"/>
      <w:pgSz w:w="11906" w:h="16838"/>
      <w:pgMar w:top="567" w:right="1021" w:bottom="567" w:left="1021" w:header="851" w:footer="1304" w:gutter="0"/>
      <w:paperSrc w:first="7" w:other="7"/>
      <w:pgNumType w:start="1"/>
      <w:cols w:space="720" w:num="1"/>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Web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Webdings">
    <w:panose1 w:val="05030102010509060703"/>
    <w:charset w:val="00"/>
    <w:family w:val="auto"/>
    <w:pitch w:val="default"/>
    <w:sig w:usb0="00000000" w:usb1="00000000" w:usb2="00000000" w:usb3="00000000" w:csb0="80000000" w:csb1="0000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uto"/>
      <w:ind w:firstLine="7560" w:firstLineChars="2700"/>
      <w:jc w:val="both"/>
      <w:rPr>
        <w:rFonts w:ascii="宋体" w:eastAsia="宋体"/>
      </w:rPr>
    </w:pPr>
    <w:r>
      <w:rPr>
        <w:rFonts w:hint="eastAsia" w:ascii="宋体" w:eastAsia="宋体"/>
      </w:rPr>
      <w:t xml:space="preserve"> — </w:t>
    </w:r>
    <w:r>
      <w:rPr>
        <w:rFonts w:ascii="宋体" w:eastAsia="宋体"/>
      </w:rPr>
      <w:fldChar w:fldCharType="begin"/>
    </w:r>
    <w:r>
      <w:rPr>
        <w:rFonts w:ascii="宋体" w:eastAsia="宋体"/>
      </w:rPr>
      <w:instrText xml:space="preserve"> PAGE   \* MERGEFORMAT </w:instrText>
    </w:r>
    <w:r>
      <w:rPr>
        <w:rFonts w:ascii="宋体" w:eastAsia="宋体"/>
      </w:rPr>
      <w:fldChar w:fldCharType="separate"/>
    </w:r>
    <w:r>
      <w:rPr>
        <w:rFonts w:ascii="宋体" w:eastAsia="宋体"/>
        <w:lang w:val="zh-CN"/>
      </w:rPr>
      <w:t>5</w:t>
    </w:r>
    <w:r>
      <w:rPr>
        <w:rFonts w:ascii="宋体" w:eastAsia="宋体"/>
      </w:rPr>
      <w:fldChar w:fldCharType="end"/>
    </w:r>
    <w:r>
      <w:rPr>
        <w:rFonts w:ascii="宋体" w:eastAsia="宋体"/>
      </w:rPr>
      <w:t xml:space="preserve"> </w:t>
    </w:r>
    <w:r>
      <w:rPr>
        <w:rFonts w:hint="eastAsia" w:ascii="宋体" w:eastAsia="宋体"/>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uto"/>
      <w:jc w:val="both"/>
      <w:rPr>
        <w:rFonts w:ascii="宋体" w:eastAsia="宋体"/>
        <w:szCs w:val="28"/>
      </w:rPr>
    </w:pPr>
    <w:r>
      <w:rPr>
        <w:rFonts w:hint="eastAsia" w:ascii="宋体" w:eastAsia="宋体"/>
        <w:szCs w:val="28"/>
      </w:rPr>
      <w:t xml:space="preserve"> — </w:t>
    </w:r>
    <w:r>
      <w:rPr>
        <w:rFonts w:ascii="宋体" w:eastAsia="宋体"/>
        <w:szCs w:val="28"/>
      </w:rPr>
      <w:fldChar w:fldCharType="begin"/>
    </w:r>
    <w:r>
      <w:rPr>
        <w:rFonts w:ascii="宋体" w:eastAsia="宋体"/>
        <w:szCs w:val="28"/>
      </w:rPr>
      <w:instrText xml:space="preserve"> PAGE   \* MERGEFORMAT </w:instrText>
    </w:r>
    <w:r>
      <w:rPr>
        <w:rFonts w:ascii="宋体" w:eastAsia="宋体"/>
        <w:szCs w:val="28"/>
      </w:rPr>
      <w:fldChar w:fldCharType="separate"/>
    </w:r>
    <w:r>
      <w:rPr>
        <w:rFonts w:ascii="宋体" w:eastAsia="宋体"/>
        <w:szCs w:val="28"/>
        <w:lang w:val="zh-CN"/>
      </w:rPr>
      <w:t>6</w:t>
    </w:r>
    <w:r>
      <w:rPr>
        <w:rFonts w:ascii="宋体" w:eastAsia="宋体"/>
        <w:szCs w:val="28"/>
      </w:rPr>
      <w:fldChar w:fldCharType="end"/>
    </w:r>
    <w:r>
      <w:rPr>
        <w:rFonts w:hint="eastAsia" w:ascii="宋体" w:eastAsia="宋体"/>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uto"/>
      <w:ind w:firstLine="7420" w:firstLineChars="2650"/>
      <w:jc w:val="both"/>
      <w:rPr>
        <w:rFonts w:ascii="宋体" w:eastAsia="宋体"/>
        <w:szCs w:val="28"/>
      </w:rPr>
    </w:pPr>
    <w:r>
      <w:rPr>
        <w:rFonts w:hint="eastAsia" w:ascii="宋体" w:eastAsia="宋体"/>
        <w:szCs w:val="28"/>
      </w:rPr>
      <w:t xml:space="preserve">— </w:t>
    </w:r>
    <w:r>
      <w:rPr>
        <w:rFonts w:ascii="宋体" w:eastAsia="宋体"/>
        <w:szCs w:val="28"/>
      </w:rPr>
      <w:fldChar w:fldCharType="begin"/>
    </w:r>
    <w:r>
      <w:rPr>
        <w:rFonts w:ascii="宋体" w:eastAsia="宋体"/>
        <w:szCs w:val="28"/>
      </w:rPr>
      <w:instrText xml:space="preserve"> PAGE   \* MERGEFORMAT </w:instrText>
    </w:r>
    <w:r>
      <w:rPr>
        <w:rFonts w:ascii="宋体" w:eastAsia="宋体"/>
        <w:szCs w:val="28"/>
      </w:rPr>
      <w:fldChar w:fldCharType="separate"/>
    </w:r>
    <w:r>
      <w:rPr>
        <w:rFonts w:ascii="宋体" w:eastAsia="宋体"/>
        <w:szCs w:val="28"/>
        <w:lang w:val="zh-CN"/>
      </w:rPr>
      <w:t>7</w:t>
    </w:r>
    <w:r>
      <w:rPr>
        <w:rFonts w:ascii="宋体" w:eastAsia="宋体"/>
        <w:szCs w:val="28"/>
      </w:rPr>
      <w:fldChar w:fldCharType="end"/>
    </w:r>
    <w:r>
      <w:rPr>
        <w:rFonts w:hint="eastAsia" w:ascii="宋体" w:eastAsia="宋体"/>
        <w:szCs w:val="28"/>
      </w:rPr>
      <w:t xml:space="preserve"> —</w:t>
    </w:r>
  </w:p>
  <w:p>
    <w:pPr>
      <w:pStyle w:val="10"/>
      <w:spacing w:line="240" w:lineRule="auto"/>
      <w:jc w:val="both"/>
      <w:rPr>
        <w:rFonts w:ascii="宋体" w:eastAsia="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uto"/>
      <w:jc w:val="both"/>
      <w:rPr>
        <w:rFonts w:ascii="宋体" w:eastAsia="宋体"/>
        <w:szCs w:val="28"/>
      </w:rPr>
    </w:pPr>
    <w:r>
      <w:rPr>
        <w:rFonts w:hint="eastAsia" w:ascii="宋体" w:eastAsia="宋体"/>
        <w:szCs w:val="28"/>
      </w:rPr>
      <w:t xml:space="preserve">                                                     — </w:t>
    </w:r>
    <w:r>
      <w:rPr>
        <w:rFonts w:ascii="宋体" w:eastAsia="宋体"/>
        <w:szCs w:val="28"/>
      </w:rPr>
      <w:fldChar w:fldCharType="begin"/>
    </w:r>
    <w:r>
      <w:rPr>
        <w:rFonts w:ascii="宋体" w:eastAsia="宋体"/>
        <w:szCs w:val="28"/>
      </w:rPr>
      <w:instrText xml:space="preserve"> PAGE   \* MERGEFORMAT </w:instrText>
    </w:r>
    <w:r>
      <w:rPr>
        <w:rFonts w:ascii="宋体" w:eastAsia="宋体"/>
        <w:szCs w:val="28"/>
      </w:rPr>
      <w:fldChar w:fldCharType="separate"/>
    </w:r>
    <w:r>
      <w:rPr>
        <w:rFonts w:ascii="宋体" w:eastAsia="宋体"/>
        <w:szCs w:val="28"/>
        <w:lang w:val="zh-CN"/>
      </w:rPr>
      <w:t>8</w:t>
    </w:r>
    <w:r>
      <w:rPr>
        <w:rFonts w:ascii="宋体" w:eastAsia="宋体"/>
        <w:szCs w:val="28"/>
      </w:rPr>
      <w:fldChar w:fldCharType="end"/>
    </w:r>
    <w:r>
      <w:rPr>
        <w:rFonts w:hint="eastAsia" w:ascii="宋体" w:eastAsia="宋体"/>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uto"/>
      <w:rPr>
        <w:rFonts w:ascii="宋体" w:eastAsia="宋体"/>
        <w:szCs w:val="28"/>
      </w:rPr>
    </w:pPr>
    <w:r>
      <w:rPr>
        <w:rFonts w:hint="eastAsia" w:ascii="宋体" w:eastAsia="宋体"/>
        <w:szCs w:val="28"/>
      </w:rPr>
      <w:t xml:space="preserve">— </w:t>
    </w:r>
    <w:r>
      <w:rPr>
        <w:rFonts w:ascii="宋体" w:eastAsia="宋体"/>
        <w:szCs w:val="28"/>
      </w:rPr>
      <w:fldChar w:fldCharType="begin"/>
    </w:r>
    <w:r>
      <w:rPr>
        <w:rFonts w:ascii="宋体" w:eastAsia="宋体"/>
        <w:szCs w:val="28"/>
      </w:rPr>
      <w:instrText xml:space="preserve"> PAGE   \* MERGEFORMAT </w:instrText>
    </w:r>
    <w:r>
      <w:rPr>
        <w:rFonts w:ascii="宋体" w:eastAsia="宋体"/>
        <w:szCs w:val="28"/>
      </w:rPr>
      <w:fldChar w:fldCharType="separate"/>
    </w:r>
    <w:r>
      <w:rPr>
        <w:rFonts w:ascii="宋体" w:eastAsia="宋体"/>
        <w:szCs w:val="28"/>
        <w:lang w:val="zh-CN"/>
      </w:rPr>
      <w:t>1</w:t>
    </w:r>
    <w:r>
      <w:rPr>
        <w:rFonts w:ascii="宋体" w:eastAsia="宋体"/>
        <w:szCs w:val="28"/>
      </w:rPr>
      <w:fldChar w:fldCharType="end"/>
    </w:r>
    <w:r>
      <w:rPr>
        <w:rFonts w:ascii="宋体" w:eastAsia="宋体"/>
        <w:szCs w:val="28"/>
      </w:rPr>
      <w:t>1</w:t>
    </w:r>
    <w:r>
      <w:rPr>
        <w:rFonts w:hint="eastAsia" w:ascii="宋体" w:eastAsia="宋体"/>
        <w:szCs w:val="28"/>
      </w:rPr>
      <w:t xml:space="preserve"> —</w:t>
    </w:r>
  </w:p>
  <w:p>
    <w:pPr>
      <w:pStyle w:val="10"/>
      <w:spacing w:line="240" w:lineRule="auto"/>
      <w:jc w:val="both"/>
      <w:rPr>
        <w:rFonts w:ascii="宋体" w:eastAsia="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dit="readOnly" w:enforcement="0"/>
  <w:defaultTabStop w:val="425"/>
  <w:evenAndOddHeaders w:val="1"/>
  <w:drawingGridHorizontalSpacing w:val="315"/>
  <w:drawingGridVerticalSpacing w:val="29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2"/>
  </w:compat>
  <w:docVars>
    <w:docVar w:name="commondata" w:val="eyJoZGlkIjoiZDM2M2E5MDg5NzgxODQ5YWI5NmEwYWM1OTYxMzY4MDgifQ=="/>
  </w:docVars>
  <w:rsids>
    <w:rsidRoot w:val="00981A20"/>
    <w:rsid w:val="00000221"/>
    <w:rsid w:val="0000092D"/>
    <w:rsid w:val="000034B0"/>
    <w:rsid w:val="00006EC9"/>
    <w:rsid w:val="000072B8"/>
    <w:rsid w:val="00015290"/>
    <w:rsid w:val="00015D9F"/>
    <w:rsid w:val="00016B42"/>
    <w:rsid w:val="00016B4E"/>
    <w:rsid w:val="00020355"/>
    <w:rsid w:val="00020925"/>
    <w:rsid w:val="00024C6F"/>
    <w:rsid w:val="00026017"/>
    <w:rsid w:val="0002719C"/>
    <w:rsid w:val="00033663"/>
    <w:rsid w:val="00035D83"/>
    <w:rsid w:val="00035FAE"/>
    <w:rsid w:val="00040149"/>
    <w:rsid w:val="0004021C"/>
    <w:rsid w:val="000502E0"/>
    <w:rsid w:val="00050C51"/>
    <w:rsid w:val="0005469C"/>
    <w:rsid w:val="0005519F"/>
    <w:rsid w:val="00055436"/>
    <w:rsid w:val="00061494"/>
    <w:rsid w:val="00063E90"/>
    <w:rsid w:val="000661B9"/>
    <w:rsid w:val="000664A8"/>
    <w:rsid w:val="00066B6F"/>
    <w:rsid w:val="00067B7B"/>
    <w:rsid w:val="00070306"/>
    <w:rsid w:val="00076237"/>
    <w:rsid w:val="000818CB"/>
    <w:rsid w:val="0008279E"/>
    <w:rsid w:val="00082958"/>
    <w:rsid w:val="00083889"/>
    <w:rsid w:val="00084741"/>
    <w:rsid w:val="00085088"/>
    <w:rsid w:val="00085A20"/>
    <w:rsid w:val="00086744"/>
    <w:rsid w:val="000869B1"/>
    <w:rsid w:val="000923AB"/>
    <w:rsid w:val="00094B30"/>
    <w:rsid w:val="00097433"/>
    <w:rsid w:val="000A02F9"/>
    <w:rsid w:val="000A321F"/>
    <w:rsid w:val="000A3EC8"/>
    <w:rsid w:val="000A4676"/>
    <w:rsid w:val="000B20D0"/>
    <w:rsid w:val="000B25B6"/>
    <w:rsid w:val="000B35D6"/>
    <w:rsid w:val="000B36E1"/>
    <w:rsid w:val="000B5939"/>
    <w:rsid w:val="000B59FD"/>
    <w:rsid w:val="000C1DC3"/>
    <w:rsid w:val="000C244D"/>
    <w:rsid w:val="000C5EF7"/>
    <w:rsid w:val="000C66CF"/>
    <w:rsid w:val="000D02E8"/>
    <w:rsid w:val="000D3091"/>
    <w:rsid w:val="000D456A"/>
    <w:rsid w:val="000E1DBF"/>
    <w:rsid w:val="000E2182"/>
    <w:rsid w:val="000E2B6E"/>
    <w:rsid w:val="000E770B"/>
    <w:rsid w:val="000E7EB9"/>
    <w:rsid w:val="000F3540"/>
    <w:rsid w:val="000F4DCD"/>
    <w:rsid w:val="000F67E0"/>
    <w:rsid w:val="00104038"/>
    <w:rsid w:val="00105DF3"/>
    <w:rsid w:val="00107C2B"/>
    <w:rsid w:val="0011108D"/>
    <w:rsid w:val="00112AAE"/>
    <w:rsid w:val="001143D2"/>
    <w:rsid w:val="00116DCE"/>
    <w:rsid w:val="00120903"/>
    <w:rsid w:val="00120E30"/>
    <w:rsid w:val="00123EF0"/>
    <w:rsid w:val="001251FE"/>
    <w:rsid w:val="00127E35"/>
    <w:rsid w:val="0013359C"/>
    <w:rsid w:val="00134D98"/>
    <w:rsid w:val="00142379"/>
    <w:rsid w:val="00142753"/>
    <w:rsid w:val="00144931"/>
    <w:rsid w:val="0014534D"/>
    <w:rsid w:val="00147389"/>
    <w:rsid w:val="0015141D"/>
    <w:rsid w:val="00152650"/>
    <w:rsid w:val="00153679"/>
    <w:rsid w:val="00153945"/>
    <w:rsid w:val="001555B2"/>
    <w:rsid w:val="001561E6"/>
    <w:rsid w:val="00156EC6"/>
    <w:rsid w:val="00160A96"/>
    <w:rsid w:val="0016202C"/>
    <w:rsid w:val="001632D8"/>
    <w:rsid w:val="00171554"/>
    <w:rsid w:val="00171970"/>
    <w:rsid w:val="00173707"/>
    <w:rsid w:val="00174664"/>
    <w:rsid w:val="00174FDB"/>
    <w:rsid w:val="00175D5E"/>
    <w:rsid w:val="001761AD"/>
    <w:rsid w:val="0017633B"/>
    <w:rsid w:val="00180077"/>
    <w:rsid w:val="00180E4F"/>
    <w:rsid w:val="00180F46"/>
    <w:rsid w:val="001810FE"/>
    <w:rsid w:val="00182E68"/>
    <w:rsid w:val="00186545"/>
    <w:rsid w:val="00186D7F"/>
    <w:rsid w:val="001876EB"/>
    <w:rsid w:val="00190BEA"/>
    <w:rsid w:val="00191265"/>
    <w:rsid w:val="00192FD9"/>
    <w:rsid w:val="0019484C"/>
    <w:rsid w:val="00197133"/>
    <w:rsid w:val="001A0EE9"/>
    <w:rsid w:val="001A531F"/>
    <w:rsid w:val="001B03C1"/>
    <w:rsid w:val="001B2C0C"/>
    <w:rsid w:val="001B7C35"/>
    <w:rsid w:val="001C0568"/>
    <w:rsid w:val="001C0669"/>
    <w:rsid w:val="001C11BC"/>
    <w:rsid w:val="001C11CC"/>
    <w:rsid w:val="001C1946"/>
    <w:rsid w:val="001C4731"/>
    <w:rsid w:val="001C6B4D"/>
    <w:rsid w:val="001D18D4"/>
    <w:rsid w:val="001D1B66"/>
    <w:rsid w:val="001D4018"/>
    <w:rsid w:val="001D403F"/>
    <w:rsid w:val="001D7320"/>
    <w:rsid w:val="001E1A2D"/>
    <w:rsid w:val="001E2993"/>
    <w:rsid w:val="001E3677"/>
    <w:rsid w:val="001E3835"/>
    <w:rsid w:val="001E490E"/>
    <w:rsid w:val="001F0E18"/>
    <w:rsid w:val="001F223E"/>
    <w:rsid w:val="001F403A"/>
    <w:rsid w:val="00200E11"/>
    <w:rsid w:val="00202695"/>
    <w:rsid w:val="00202AA3"/>
    <w:rsid w:val="002041D7"/>
    <w:rsid w:val="0020575C"/>
    <w:rsid w:val="0020692B"/>
    <w:rsid w:val="00207F6B"/>
    <w:rsid w:val="00210EB6"/>
    <w:rsid w:val="00216DA5"/>
    <w:rsid w:val="0022353D"/>
    <w:rsid w:val="0022356B"/>
    <w:rsid w:val="00225198"/>
    <w:rsid w:val="00225F6E"/>
    <w:rsid w:val="00227E2E"/>
    <w:rsid w:val="00230D9D"/>
    <w:rsid w:val="00230E52"/>
    <w:rsid w:val="00232255"/>
    <w:rsid w:val="00233B83"/>
    <w:rsid w:val="00234D51"/>
    <w:rsid w:val="00234E5A"/>
    <w:rsid w:val="00234EAA"/>
    <w:rsid w:val="00236186"/>
    <w:rsid w:val="00236BD8"/>
    <w:rsid w:val="002371E6"/>
    <w:rsid w:val="00237B03"/>
    <w:rsid w:val="00243ADF"/>
    <w:rsid w:val="00245375"/>
    <w:rsid w:val="002478DA"/>
    <w:rsid w:val="00253E76"/>
    <w:rsid w:val="002622A8"/>
    <w:rsid w:val="00262E69"/>
    <w:rsid w:val="00265DBC"/>
    <w:rsid w:val="00267886"/>
    <w:rsid w:val="0027099A"/>
    <w:rsid w:val="00273CF5"/>
    <w:rsid w:val="00280A25"/>
    <w:rsid w:val="00281428"/>
    <w:rsid w:val="00281A50"/>
    <w:rsid w:val="00281D53"/>
    <w:rsid w:val="0028287A"/>
    <w:rsid w:val="00282D32"/>
    <w:rsid w:val="002838B7"/>
    <w:rsid w:val="002859EC"/>
    <w:rsid w:val="00291433"/>
    <w:rsid w:val="002920B6"/>
    <w:rsid w:val="002932D0"/>
    <w:rsid w:val="0029603D"/>
    <w:rsid w:val="002A073E"/>
    <w:rsid w:val="002A2CFA"/>
    <w:rsid w:val="002B1B07"/>
    <w:rsid w:val="002B2FD7"/>
    <w:rsid w:val="002B4AB1"/>
    <w:rsid w:val="002B5F50"/>
    <w:rsid w:val="002B6018"/>
    <w:rsid w:val="002B62BB"/>
    <w:rsid w:val="002B76E5"/>
    <w:rsid w:val="002C1BDC"/>
    <w:rsid w:val="002C38BE"/>
    <w:rsid w:val="002C4C49"/>
    <w:rsid w:val="002C4CAD"/>
    <w:rsid w:val="002D2D3C"/>
    <w:rsid w:val="002D3E2F"/>
    <w:rsid w:val="002D4585"/>
    <w:rsid w:val="002D739B"/>
    <w:rsid w:val="002E0491"/>
    <w:rsid w:val="002E2013"/>
    <w:rsid w:val="002F0B26"/>
    <w:rsid w:val="002F18FD"/>
    <w:rsid w:val="002F3ACE"/>
    <w:rsid w:val="002F55BA"/>
    <w:rsid w:val="002F5E8D"/>
    <w:rsid w:val="003023A7"/>
    <w:rsid w:val="003025A2"/>
    <w:rsid w:val="00303C60"/>
    <w:rsid w:val="00305BE0"/>
    <w:rsid w:val="00306F56"/>
    <w:rsid w:val="00307F4B"/>
    <w:rsid w:val="003107D0"/>
    <w:rsid w:val="00315D39"/>
    <w:rsid w:val="00316D32"/>
    <w:rsid w:val="00317419"/>
    <w:rsid w:val="003221CA"/>
    <w:rsid w:val="003224C6"/>
    <w:rsid w:val="00325258"/>
    <w:rsid w:val="00331ED1"/>
    <w:rsid w:val="003331AD"/>
    <w:rsid w:val="00334B62"/>
    <w:rsid w:val="00337E39"/>
    <w:rsid w:val="003445F8"/>
    <w:rsid w:val="0034621D"/>
    <w:rsid w:val="00347ED4"/>
    <w:rsid w:val="00353E98"/>
    <w:rsid w:val="003556B3"/>
    <w:rsid w:val="00360D69"/>
    <w:rsid w:val="00362761"/>
    <w:rsid w:val="00364CAB"/>
    <w:rsid w:val="0036634C"/>
    <w:rsid w:val="00366442"/>
    <w:rsid w:val="00366B87"/>
    <w:rsid w:val="0037014A"/>
    <w:rsid w:val="00373D4B"/>
    <w:rsid w:val="003765F0"/>
    <w:rsid w:val="00382852"/>
    <w:rsid w:val="00382C67"/>
    <w:rsid w:val="00382D12"/>
    <w:rsid w:val="00382EEC"/>
    <w:rsid w:val="00384D4C"/>
    <w:rsid w:val="00386CB9"/>
    <w:rsid w:val="003876A2"/>
    <w:rsid w:val="00391E88"/>
    <w:rsid w:val="0039226C"/>
    <w:rsid w:val="003925A9"/>
    <w:rsid w:val="00392E8B"/>
    <w:rsid w:val="00397E5F"/>
    <w:rsid w:val="003A275A"/>
    <w:rsid w:val="003A6908"/>
    <w:rsid w:val="003A770D"/>
    <w:rsid w:val="003A7856"/>
    <w:rsid w:val="003B13DC"/>
    <w:rsid w:val="003B2B1C"/>
    <w:rsid w:val="003C168F"/>
    <w:rsid w:val="003C473D"/>
    <w:rsid w:val="003D4C0E"/>
    <w:rsid w:val="003D4C44"/>
    <w:rsid w:val="003D4F9D"/>
    <w:rsid w:val="003D62F0"/>
    <w:rsid w:val="003E0FD0"/>
    <w:rsid w:val="003E420E"/>
    <w:rsid w:val="003E4347"/>
    <w:rsid w:val="003E62A9"/>
    <w:rsid w:val="003F3DA7"/>
    <w:rsid w:val="003F5B99"/>
    <w:rsid w:val="00400360"/>
    <w:rsid w:val="00400C43"/>
    <w:rsid w:val="00400C6E"/>
    <w:rsid w:val="004013C8"/>
    <w:rsid w:val="00404B30"/>
    <w:rsid w:val="00410FE6"/>
    <w:rsid w:val="0041143F"/>
    <w:rsid w:val="00411557"/>
    <w:rsid w:val="004119B0"/>
    <w:rsid w:val="0041272B"/>
    <w:rsid w:val="004128B5"/>
    <w:rsid w:val="00413D52"/>
    <w:rsid w:val="00415003"/>
    <w:rsid w:val="00416C8D"/>
    <w:rsid w:val="00420A78"/>
    <w:rsid w:val="00421CCC"/>
    <w:rsid w:val="00423BF8"/>
    <w:rsid w:val="00423F41"/>
    <w:rsid w:val="004247C3"/>
    <w:rsid w:val="00424F59"/>
    <w:rsid w:val="004265B1"/>
    <w:rsid w:val="00433B05"/>
    <w:rsid w:val="00434E2E"/>
    <w:rsid w:val="004356C5"/>
    <w:rsid w:val="00436FC9"/>
    <w:rsid w:val="00440552"/>
    <w:rsid w:val="004410A3"/>
    <w:rsid w:val="004414A0"/>
    <w:rsid w:val="004436C2"/>
    <w:rsid w:val="00445CDA"/>
    <w:rsid w:val="00451693"/>
    <w:rsid w:val="004520DE"/>
    <w:rsid w:val="004609A6"/>
    <w:rsid w:val="00460F86"/>
    <w:rsid w:val="0047063F"/>
    <w:rsid w:val="00470684"/>
    <w:rsid w:val="00470918"/>
    <w:rsid w:val="004768A4"/>
    <w:rsid w:val="00483281"/>
    <w:rsid w:val="00486AB8"/>
    <w:rsid w:val="00490AF9"/>
    <w:rsid w:val="00492012"/>
    <w:rsid w:val="00494D2B"/>
    <w:rsid w:val="00496F3E"/>
    <w:rsid w:val="00497B90"/>
    <w:rsid w:val="00497E2D"/>
    <w:rsid w:val="004A040B"/>
    <w:rsid w:val="004A0899"/>
    <w:rsid w:val="004A1719"/>
    <w:rsid w:val="004A5078"/>
    <w:rsid w:val="004A538E"/>
    <w:rsid w:val="004A5A36"/>
    <w:rsid w:val="004A7AF7"/>
    <w:rsid w:val="004B5153"/>
    <w:rsid w:val="004B5483"/>
    <w:rsid w:val="004B55E8"/>
    <w:rsid w:val="004B5E1C"/>
    <w:rsid w:val="004B7632"/>
    <w:rsid w:val="004C1B66"/>
    <w:rsid w:val="004C3ED6"/>
    <w:rsid w:val="004C4A83"/>
    <w:rsid w:val="004C5D02"/>
    <w:rsid w:val="004C6CF9"/>
    <w:rsid w:val="004C76AC"/>
    <w:rsid w:val="004D0C5E"/>
    <w:rsid w:val="004D272F"/>
    <w:rsid w:val="004D2D1D"/>
    <w:rsid w:val="004D31B2"/>
    <w:rsid w:val="004D4F68"/>
    <w:rsid w:val="004D60BD"/>
    <w:rsid w:val="004D6AE9"/>
    <w:rsid w:val="004E0C06"/>
    <w:rsid w:val="004E12AD"/>
    <w:rsid w:val="004E3897"/>
    <w:rsid w:val="004F42BF"/>
    <w:rsid w:val="005002C9"/>
    <w:rsid w:val="0050249A"/>
    <w:rsid w:val="00504B6F"/>
    <w:rsid w:val="005054B8"/>
    <w:rsid w:val="00506282"/>
    <w:rsid w:val="00507192"/>
    <w:rsid w:val="005074E7"/>
    <w:rsid w:val="00517B7B"/>
    <w:rsid w:val="00522D9A"/>
    <w:rsid w:val="00525164"/>
    <w:rsid w:val="005266CC"/>
    <w:rsid w:val="00532F9F"/>
    <w:rsid w:val="00536238"/>
    <w:rsid w:val="00537A36"/>
    <w:rsid w:val="005415D3"/>
    <w:rsid w:val="005440FB"/>
    <w:rsid w:val="00546504"/>
    <w:rsid w:val="005546C2"/>
    <w:rsid w:val="00561D43"/>
    <w:rsid w:val="00563019"/>
    <w:rsid w:val="005643C1"/>
    <w:rsid w:val="005660A6"/>
    <w:rsid w:val="00566121"/>
    <w:rsid w:val="005666F2"/>
    <w:rsid w:val="00567774"/>
    <w:rsid w:val="00567BCC"/>
    <w:rsid w:val="00571C4C"/>
    <w:rsid w:val="0057754A"/>
    <w:rsid w:val="0057798C"/>
    <w:rsid w:val="00580B5E"/>
    <w:rsid w:val="00581DA0"/>
    <w:rsid w:val="00581E45"/>
    <w:rsid w:val="005835E6"/>
    <w:rsid w:val="00583C14"/>
    <w:rsid w:val="00586167"/>
    <w:rsid w:val="00594403"/>
    <w:rsid w:val="00594B48"/>
    <w:rsid w:val="00594F33"/>
    <w:rsid w:val="00596270"/>
    <w:rsid w:val="005979BD"/>
    <w:rsid w:val="005A1002"/>
    <w:rsid w:val="005A1DC7"/>
    <w:rsid w:val="005A2E76"/>
    <w:rsid w:val="005A646A"/>
    <w:rsid w:val="005B0D1F"/>
    <w:rsid w:val="005B1AD9"/>
    <w:rsid w:val="005B223C"/>
    <w:rsid w:val="005B6FE3"/>
    <w:rsid w:val="005C00FE"/>
    <w:rsid w:val="005C01D9"/>
    <w:rsid w:val="005C2D1A"/>
    <w:rsid w:val="005C544F"/>
    <w:rsid w:val="005C6E1F"/>
    <w:rsid w:val="005C7C1B"/>
    <w:rsid w:val="005D2283"/>
    <w:rsid w:val="005D59E6"/>
    <w:rsid w:val="005E0991"/>
    <w:rsid w:val="005E1794"/>
    <w:rsid w:val="005E50D4"/>
    <w:rsid w:val="005E6274"/>
    <w:rsid w:val="005F17A5"/>
    <w:rsid w:val="005F1AA8"/>
    <w:rsid w:val="005F205B"/>
    <w:rsid w:val="005F37B0"/>
    <w:rsid w:val="005F5007"/>
    <w:rsid w:val="005F594A"/>
    <w:rsid w:val="00600499"/>
    <w:rsid w:val="006004C8"/>
    <w:rsid w:val="0060121D"/>
    <w:rsid w:val="00602972"/>
    <w:rsid w:val="00604E19"/>
    <w:rsid w:val="006072B2"/>
    <w:rsid w:val="006123AE"/>
    <w:rsid w:val="00614D26"/>
    <w:rsid w:val="00615BA9"/>
    <w:rsid w:val="006219C0"/>
    <w:rsid w:val="0062461E"/>
    <w:rsid w:val="006325B6"/>
    <w:rsid w:val="006326EE"/>
    <w:rsid w:val="006341DB"/>
    <w:rsid w:val="00635E12"/>
    <w:rsid w:val="00644D60"/>
    <w:rsid w:val="006520DA"/>
    <w:rsid w:val="00652C84"/>
    <w:rsid w:val="00653375"/>
    <w:rsid w:val="006571E4"/>
    <w:rsid w:val="00662CC9"/>
    <w:rsid w:val="006641DC"/>
    <w:rsid w:val="00664C24"/>
    <w:rsid w:val="00665A33"/>
    <w:rsid w:val="00665DE6"/>
    <w:rsid w:val="00667277"/>
    <w:rsid w:val="0066727C"/>
    <w:rsid w:val="00676749"/>
    <w:rsid w:val="00683E30"/>
    <w:rsid w:val="00684928"/>
    <w:rsid w:val="00684AE5"/>
    <w:rsid w:val="00685E5D"/>
    <w:rsid w:val="00692810"/>
    <w:rsid w:val="00692D87"/>
    <w:rsid w:val="00695E3E"/>
    <w:rsid w:val="00696735"/>
    <w:rsid w:val="00696DFF"/>
    <w:rsid w:val="0069739E"/>
    <w:rsid w:val="00697D96"/>
    <w:rsid w:val="006A42ED"/>
    <w:rsid w:val="006A542A"/>
    <w:rsid w:val="006A54D2"/>
    <w:rsid w:val="006A7C86"/>
    <w:rsid w:val="006B1634"/>
    <w:rsid w:val="006B416B"/>
    <w:rsid w:val="006B564D"/>
    <w:rsid w:val="006B7905"/>
    <w:rsid w:val="006C3470"/>
    <w:rsid w:val="006C458A"/>
    <w:rsid w:val="006C5404"/>
    <w:rsid w:val="006C582D"/>
    <w:rsid w:val="006C5918"/>
    <w:rsid w:val="006D1594"/>
    <w:rsid w:val="006D178A"/>
    <w:rsid w:val="006D23C9"/>
    <w:rsid w:val="006D2534"/>
    <w:rsid w:val="006D270C"/>
    <w:rsid w:val="006D3F83"/>
    <w:rsid w:val="006D42A1"/>
    <w:rsid w:val="006D454D"/>
    <w:rsid w:val="006D4B8F"/>
    <w:rsid w:val="006D531A"/>
    <w:rsid w:val="006D64EE"/>
    <w:rsid w:val="006E2BBE"/>
    <w:rsid w:val="006F00BE"/>
    <w:rsid w:val="006F0CC5"/>
    <w:rsid w:val="006F1718"/>
    <w:rsid w:val="006F1AD5"/>
    <w:rsid w:val="006F1F5F"/>
    <w:rsid w:val="006F420D"/>
    <w:rsid w:val="006F565F"/>
    <w:rsid w:val="006F6A5E"/>
    <w:rsid w:val="006F6E8A"/>
    <w:rsid w:val="006F7F39"/>
    <w:rsid w:val="00701F9F"/>
    <w:rsid w:val="00704F6F"/>
    <w:rsid w:val="007056AC"/>
    <w:rsid w:val="00705C9C"/>
    <w:rsid w:val="007072E3"/>
    <w:rsid w:val="00707F98"/>
    <w:rsid w:val="0071339A"/>
    <w:rsid w:val="0071534C"/>
    <w:rsid w:val="00716CCF"/>
    <w:rsid w:val="007211AA"/>
    <w:rsid w:val="00727C4B"/>
    <w:rsid w:val="00741484"/>
    <w:rsid w:val="00743952"/>
    <w:rsid w:val="00744000"/>
    <w:rsid w:val="0075185C"/>
    <w:rsid w:val="00751BC1"/>
    <w:rsid w:val="007520D8"/>
    <w:rsid w:val="007555A0"/>
    <w:rsid w:val="007555A8"/>
    <w:rsid w:val="00756786"/>
    <w:rsid w:val="00756B7F"/>
    <w:rsid w:val="00757927"/>
    <w:rsid w:val="00761F8A"/>
    <w:rsid w:val="0076334C"/>
    <w:rsid w:val="00764946"/>
    <w:rsid w:val="007650DE"/>
    <w:rsid w:val="00770851"/>
    <w:rsid w:val="007731C7"/>
    <w:rsid w:val="00773D95"/>
    <w:rsid w:val="00774462"/>
    <w:rsid w:val="00775C1B"/>
    <w:rsid w:val="00776F02"/>
    <w:rsid w:val="0077733F"/>
    <w:rsid w:val="00777C0F"/>
    <w:rsid w:val="0078053B"/>
    <w:rsid w:val="00780F93"/>
    <w:rsid w:val="00783FDC"/>
    <w:rsid w:val="007855EA"/>
    <w:rsid w:val="00787EA6"/>
    <w:rsid w:val="00791BF3"/>
    <w:rsid w:val="007927E7"/>
    <w:rsid w:val="007931D4"/>
    <w:rsid w:val="00795FDE"/>
    <w:rsid w:val="00796AE4"/>
    <w:rsid w:val="007971C0"/>
    <w:rsid w:val="007973DC"/>
    <w:rsid w:val="007A08B2"/>
    <w:rsid w:val="007B1722"/>
    <w:rsid w:val="007B3DA7"/>
    <w:rsid w:val="007B3ECF"/>
    <w:rsid w:val="007B4246"/>
    <w:rsid w:val="007C0800"/>
    <w:rsid w:val="007C267F"/>
    <w:rsid w:val="007C5A3C"/>
    <w:rsid w:val="007C7F1B"/>
    <w:rsid w:val="007D23D8"/>
    <w:rsid w:val="007D55B2"/>
    <w:rsid w:val="007E1650"/>
    <w:rsid w:val="007E2DDF"/>
    <w:rsid w:val="007F2414"/>
    <w:rsid w:val="007F41DC"/>
    <w:rsid w:val="007F4B5E"/>
    <w:rsid w:val="007F4EEA"/>
    <w:rsid w:val="007F6F00"/>
    <w:rsid w:val="007F709A"/>
    <w:rsid w:val="007F74AD"/>
    <w:rsid w:val="0080010C"/>
    <w:rsid w:val="008042D0"/>
    <w:rsid w:val="008046A0"/>
    <w:rsid w:val="00811862"/>
    <w:rsid w:val="008124CF"/>
    <w:rsid w:val="008138A3"/>
    <w:rsid w:val="00813B94"/>
    <w:rsid w:val="00816D74"/>
    <w:rsid w:val="00817E78"/>
    <w:rsid w:val="008201E2"/>
    <w:rsid w:val="008204BE"/>
    <w:rsid w:val="00821051"/>
    <w:rsid w:val="00823C03"/>
    <w:rsid w:val="00826BAC"/>
    <w:rsid w:val="00826F10"/>
    <w:rsid w:val="008310AA"/>
    <w:rsid w:val="00835676"/>
    <w:rsid w:val="00837CCC"/>
    <w:rsid w:val="008411C1"/>
    <w:rsid w:val="008443A7"/>
    <w:rsid w:val="008466CC"/>
    <w:rsid w:val="00846FFC"/>
    <w:rsid w:val="00850074"/>
    <w:rsid w:val="00850AF8"/>
    <w:rsid w:val="0085112E"/>
    <w:rsid w:val="00852D13"/>
    <w:rsid w:val="0085410D"/>
    <w:rsid w:val="00855F74"/>
    <w:rsid w:val="00856EEF"/>
    <w:rsid w:val="0086095C"/>
    <w:rsid w:val="00861C8B"/>
    <w:rsid w:val="00866041"/>
    <w:rsid w:val="008665D0"/>
    <w:rsid w:val="00866B7F"/>
    <w:rsid w:val="00866C45"/>
    <w:rsid w:val="008679FB"/>
    <w:rsid w:val="008706DA"/>
    <w:rsid w:val="008711AE"/>
    <w:rsid w:val="00872689"/>
    <w:rsid w:val="0088032F"/>
    <w:rsid w:val="008830B1"/>
    <w:rsid w:val="00883EE7"/>
    <w:rsid w:val="00884B83"/>
    <w:rsid w:val="008864DA"/>
    <w:rsid w:val="00893864"/>
    <w:rsid w:val="00893F5D"/>
    <w:rsid w:val="008943EE"/>
    <w:rsid w:val="0089502D"/>
    <w:rsid w:val="008952F9"/>
    <w:rsid w:val="00896C25"/>
    <w:rsid w:val="008A14BA"/>
    <w:rsid w:val="008A3B42"/>
    <w:rsid w:val="008A3C5F"/>
    <w:rsid w:val="008A5829"/>
    <w:rsid w:val="008B0959"/>
    <w:rsid w:val="008B22DB"/>
    <w:rsid w:val="008B5215"/>
    <w:rsid w:val="008B5C30"/>
    <w:rsid w:val="008B6045"/>
    <w:rsid w:val="008B7530"/>
    <w:rsid w:val="008C34BE"/>
    <w:rsid w:val="008D054B"/>
    <w:rsid w:val="008D58CA"/>
    <w:rsid w:val="008E0197"/>
    <w:rsid w:val="008E2161"/>
    <w:rsid w:val="008E3E02"/>
    <w:rsid w:val="008E52CC"/>
    <w:rsid w:val="008E6578"/>
    <w:rsid w:val="008E66BB"/>
    <w:rsid w:val="008E7451"/>
    <w:rsid w:val="008F13B7"/>
    <w:rsid w:val="008F2684"/>
    <w:rsid w:val="008F36CE"/>
    <w:rsid w:val="009016F1"/>
    <w:rsid w:val="00905676"/>
    <w:rsid w:val="00906014"/>
    <w:rsid w:val="00906F95"/>
    <w:rsid w:val="00907157"/>
    <w:rsid w:val="00907754"/>
    <w:rsid w:val="009077D4"/>
    <w:rsid w:val="00907C3A"/>
    <w:rsid w:val="0091030E"/>
    <w:rsid w:val="009103AA"/>
    <w:rsid w:val="0091278C"/>
    <w:rsid w:val="00914ABE"/>
    <w:rsid w:val="00916EBE"/>
    <w:rsid w:val="00916EC4"/>
    <w:rsid w:val="0091738E"/>
    <w:rsid w:val="00922C67"/>
    <w:rsid w:val="00924C3A"/>
    <w:rsid w:val="00926673"/>
    <w:rsid w:val="00930742"/>
    <w:rsid w:val="00930BBC"/>
    <w:rsid w:val="00931730"/>
    <w:rsid w:val="00933C28"/>
    <w:rsid w:val="00935BB0"/>
    <w:rsid w:val="0094297E"/>
    <w:rsid w:val="00944DEE"/>
    <w:rsid w:val="00947E18"/>
    <w:rsid w:val="00950F22"/>
    <w:rsid w:val="00953228"/>
    <w:rsid w:val="009536FE"/>
    <w:rsid w:val="009539A8"/>
    <w:rsid w:val="0095417F"/>
    <w:rsid w:val="009542F4"/>
    <w:rsid w:val="009555C5"/>
    <w:rsid w:val="00956D53"/>
    <w:rsid w:val="00957D26"/>
    <w:rsid w:val="009602BB"/>
    <w:rsid w:val="00962031"/>
    <w:rsid w:val="00963593"/>
    <w:rsid w:val="00967351"/>
    <w:rsid w:val="0096771F"/>
    <w:rsid w:val="009704CA"/>
    <w:rsid w:val="00972D20"/>
    <w:rsid w:val="009744D5"/>
    <w:rsid w:val="00975D7A"/>
    <w:rsid w:val="00977660"/>
    <w:rsid w:val="00981A20"/>
    <w:rsid w:val="00982279"/>
    <w:rsid w:val="00984D66"/>
    <w:rsid w:val="00986DF5"/>
    <w:rsid w:val="009870D5"/>
    <w:rsid w:val="009929B3"/>
    <w:rsid w:val="00993144"/>
    <w:rsid w:val="009959F7"/>
    <w:rsid w:val="00995FCD"/>
    <w:rsid w:val="0099672F"/>
    <w:rsid w:val="00997481"/>
    <w:rsid w:val="00997ACD"/>
    <w:rsid w:val="009B0457"/>
    <w:rsid w:val="009B0D62"/>
    <w:rsid w:val="009B1DEE"/>
    <w:rsid w:val="009B3E0F"/>
    <w:rsid w:val="009B5D6E"/>
    <w:rsid w:val="009B6E9E"/>
    <w:rsid w:val="009C4FBB"/>
    <w:rsid w:val="009C55F9"/>
    <w:rsid w:val="009D0DE1"/>
    <w:rsid w:val="009D1122"/>
    <w:rsid w:val="009D487B"/>
    <w:rsid w:val="009D4A00"/>
    <w:rsid w:val="009D7E07"/>
    <w:rsid w:val="009E1A60"/>
    <w:rsid w:val="009E35E7"/>
    <w:rsid w:val="009E44C9"/>
    <w:rsid w:val="009E5A1A"/>
    <w:rsid w:val="009E7DBF"/>
    <w:rsid w:val="009F195B"/>
    <w:rsid w:val="009F32B8"/>
    <w:rsid w:val="009F3533"/>
    <w:rsid w:val="009F4D6A"/>
    <w:rsid w:val="009F5288"/>
    <w:rsid w:val="009F5EB4"/>
    <w:rsid w:val="009F7819"/>
    <w:rsid w:val="00A00F34"/>
    <w:rsid w:val="00A01E96"/>
    <w:rsid w:val="00A050CC"/>
    <w:rsid w:val="00A07367"/>
    <w:rsid w:val="00A10295"/>
    <w:rsid w:val="00A11555"/>
    <w:rsid w:val="00A125B2"/>
    <w:rsid w:val="00A12C85"/>
    <w:rsid w:val="00A14204"/>
    <w:rsid w:val="00A1441B"/>
    <w:rsid w:val="00A1680D"/>
    <w:rsid w:val="00A17975"/>
    <w:rsid w:val="00A21C2C"/>
    <w:rsid w:val="00A22BEF"/>
    <w:rsid w:val="00A2593C"/>
    <w:rsid w:val="00A3060E"/>
    <w:rsid w:val="00A31280"/>
    <w:rsid w:val="00A32137"/>
    <w:rsid w:val="00A37AB4"/>
    <w:rsid w:val="00A402A4"/>
    <w:rsid w:val="00A40F97"/>
    <w:rsid w:val="00A42F45"/>
    <w:rsid w:val="00A43224"/>
    <w:rsid w:val="00A44459"/>
    <w:rsid w:val="00A47CF1"/>
    <w:rsid w:val="00A50E47"/>
    <w:rsid w:val="00A520B5"/>
    <w:rsid w:val="00A5258D"/>
    <w:rsid w:val="00A52707"/>
    <w:rsid w:val="00A540B6"/>
    <w:rsid w:val="00A55976"/>
    <w:rsid w:val="00A62BB8"/>
    <w:rsid w:val="00A63385"/>
    <w:rsid w:val="00A6500E"/>
    <w:rsid w:val="00A65997"/>
    <w:rsid w:val="00A70D5D"/>
    <w:rsid w:val="00A70E83"/>
    <w:rsid w:val="00A77BCC"/>
    <w:rsid w:val="00A849A9"/>
    <w:rsid w:val="00A857EC"/>
    <w:rsid w:val="00A873B8"/>
    <w:rsid w:val="00A87BE2"/>
    <w:rsid w:val="00A908C7"/>
    <w:rsid w:val="00A92F29"/>
    <w:rsid w:val="00A92F61"/>
    <w:rsid w:val="00A931CA"/>
    <w:rsid w:val="00AA0C87"/>
    <w:rsid w:val="00AA47A1"/>
    <w:rsid w:val="00AA57E4"/>
    <w:rsid w:val="00AA683E"/>
    <w:rsid w:val="00AB00E8"/>
    <w:rsid w:val="00AB06DD"/>
    <w:rsid w:val="00AB4113"/>
    <w:rsid w:val="00AB53FA"/>
    <w:rsid w:val="00AB59FF"/>
    <w:rsid w:val="00AB64A2"/>
    <w:rsid w:val="00AC1252"/>
    <w:rsid w:val="00AC2872"/>
    <w:rsid w:val="00AC7CA9"/>
    <w:rsid w:val="00AD11FD"/>
    <w:rsid w:val="00AD3735"/>
    <w:rsid w:val="00AD392D"/>
    <w:rsid w:val="00AD5F9B"/>
    <w:rsid w:val="00AD6078"/>
    <w:rsid w:val="00AE42A5"/>
    <w:rsid w:val="00AE7E97"/>
    <w:rsid w:val="00AE7F7B"/>
    <w:rsid w:val="00AF03AE"/>
    <w:rsid w:val="00AF1499"/>
    <w:rsid w:val="00AF6D2B"/>
    <w:rsid w:val="00AF7314"/>
    <w:rsid w:val="00AF7902"/>
    <w:rsid w:val="00B05EBE"/>
    <w:rsid w:val="00B06438"/>
    <w:rsid w:val="00B112F6"/>
    <w:rsid w:val="00B129A0"/>
    <w:rsid w:val="00B209EC"/>
    <w:rsid w:val="00B24FF6"/>
    <w:rsid w:val="00B250B9"/>
    <w:rsid w:val="00B37304"/>
    <w:rsid w:val="00B408B2"/>
    <w:rsid w:val="00B508AC"/>
    <w:rsid w:val="00B512FE"/>
    <w:rsid w:val="00B5165E"/>
    <w:rsid w:val="00B53653"/>
    <w:rsid w:val="00B611C9"/>
    <w:rsid w:val="00B61D3D"/>
    <w:rsid w:val="00B62D36"/>
    <w:rsid w:val="00B63FAC"/>
    <w:rsid w:val="00B7120B"/>
    <w:rsid w:val="00B713EE"/>
    <w:rsid w:val="00B77ACE"/>
    <w:rsid w:val="00B81394"/>
    <w:rsid w:val="00B818F5"/>
    <w:rsid w:val="00B81DB9"/>
    <w:rsid w:val="00B8243C"/>
    <w:rsid w:val="00B83678"/>
    <w:rsid w:val="00B838F0"/>
    <w:rsid w:val="00B839FE"/>
    <w:rsid w:val="00B913D9"/>
    <w:rsid w:val="00B92956"/>
    <w:rsid w:val="00B93B1A"/>
    <w:rsid w:val="00B961D0"/>
    <w:rsid w:val="00B97909"/>
    <w:rsid w:val="00BA2C66"/>
    <w:rsid w:val="00BA2F20"/>
    <w:rsid w:val="00BA37CE"/>
    <w:rsid w:val="00BA5904"/>
    <w:rsid w:val="00BA5EDA"/>
    <w:rsid w:val="00BB333A"/>
    <w:rsid w:val="00BB463A"/>
    <w:rsid w:val="00BC00B6"/>
    <w:rsid w:val="00BC2CA8"/>
    <w:rsid w:val="00BC4873"/>
    <w:rsid w:val="00BD0578"/>
    <w:rsid w:val="00BD0785"/>
    <w:rsid w:val="00BD3D08"/>
    <w:rsid w:val="00BD5319"/>
    <w:rsid w:val="00BD5954"/>
    <w:rsid w:val="00BD744C"/>
    <w:rsid w:val="00BD74AD"/>
    <w:rsid w:val="00BE004D"/>
    <w:rsid w:val="00BE06C5"/>
    <w:rsid w:val="00BE0EDE"/>
    <w:rsid w:val="00BE705C"/>
    <w:rsid w:val="00BE7EEE"/>
    <w:rsid w:val="00BF04F5"/>
    <w:rsid w:val="00BF0914"/>
    <w:rsid w:val="00BF1A00"/>
    <w:rsid w:val="00BF1D4C"/>
    <w:rsid w:val="00BF521C"/>
    <w:rsid w:val="00BF6125"/>
    <w:rsid w:val="00C00DE3"/>
    <w:rsid w:val="00C034E7"/>
    <w:rsid w:val="00C0591B"/>
    <w:rsid w:val="00C06AEB"/>
    <w:rsid w:val="00C079C6"/>
    <w:rsid w:val="00C10BAC"/>
    <w:rsid w:val="00C11177"/>
    <w:rsid w:val="00C1133C"/>
    <w:rsid w:val="00C116AF"/>
    <w:rsid w:val="00C11E80"/>
    <w:rsid w:val="00C120B3"/>
    <w:rsid w:val="00C13009"/>
    <w:rsid w:val="00C1348E"/>
    <w:rsid w:val="00C13AFE"/>
    <w:rsid w:val="00C229F5"/>
    <w:rsid w:val="00C23845"/>
    <w:rsid w:val="00C242ED"/>
    <w:rsid w:val="00C24DFF"/>
    <w:rsid w:val="00C273C1"/>
    <w:rsid w:val="00C33084"/>
    <w:rsid w:val="00C378EA"/>
    <w:rsid w:val="00C37D45"/>
    <w:rsid w:val="00C43A36"/>
    <w:rsid w:val="00C452BF"/>
    <w:rsid w:val="00C50E8D"/>
    <w:rsid w:val="00C525CC"/>
    <w:rsid w:val="00C53C03"/>
    <w:rsid w:val="00C53E7B"/>
    <w:rsid w:val="00C55317"/>
    <w:rsid w:val="00C56A3A"/>
    <w:rsid w:val="00C62963"/>
    <w:rsid w:val="00C633C0"/>
    <w:rsid w:val="00C6596A"/>
    <w:rsid w:val="00C67311"/>
    <w:rsid w:val="00C67DF5"/>
    <w:rsid w:val="00C703ED"/>
    <w:rsid w:val="00C70A1D"/>
    <w:rsid w:val="00C70A56"/>
    <w:rsid w:val="00C72ACC"/>
    <w:rsid w:val="00C836F3"/>
    <w:rsid w:val="00C83E30"/>
    <w:rsid w:val="00C85CE5"/>
    <w:rsid w:val="00C90420"/>
    <w:rsid w:val="00C9067F"/>
    <w:rsid w:val="00C919FB"/>
    <w:rsid w:val="00C92329"/>
    <w:rsid w:val="00C926CF"/>
    <w:rsid w:val="00C97396"/>
    <w:rsid w:val="00C979D3"/>
    <w:rsid w:val="00C97ECA"/>
    <w:rsid w:val="00CA09EE"/>
    <w:rsid w:val="00CA1A82"/>
    <w:rsid w:val="00CA4C61"/>
    <w:rsid w:val="00CA591D"/>
    <w:rsid w:val="00CA5CBC"/>
    <w:rsid w:val="00CB6766"/>
    <w:rsid w:val="00CC3D52"/>
    <w:rsid w:val="00CC4F1C"/>
    <w:rsid w:val="00CD299A"/>
    <w:rsid w:val="00CD3385"/>
    <w:rsid w:val="00CD509F"/>
    <w:rsid w:val="00CD5A9A"/>
    <w:rsid w:val="00CD6755"/>
    <w:rsid w:val="00CE56BF"/>
    <w:rsid w:val="00CF109A"/>
    <w:rsid w:val="00CF1F34"/>
    <w:rsid w:val="00CF2897"/>
    <w:rsid w:val="00CF4F83"/>
    <w:rsid w:val="00D022A0"/>
    <w:rsid w:val="00D05AC0"/>
    <w:rsid w:val="00D07B63"/>
    <w:rsid w:val="00D10DD3"/>
    <w:rsid w:val="00D17F16"/>
    <w:rsid w:val="00D22941"/>
    <w:rsid w:val="00D24822"/>
    <w:rsid w:val="00D3034C"/>
    <w:rsid w:val="00D31810"/>
    <w:rsid w:val="00D31BE6"/>
    <w:rsid w:val="00D33381"/>
    <w:rsid w:val="00D33E27"/>
    <w:rsid w:val="00D35B2E"/>
    <w:rsid w:val="00D35BAC"/>
    <w:rsid w:val="00D36089"/>
    <w:rsid w:val="00D37374"/>
    <w:rsid w:val="00D3759C"/>
    <w:rsid w:val="00D41359"/>
    <w:rsid w:val="00D43B4F"/>
    <w:rsid w:val="00D44EF1"/>
    <w:rsid w:val="00D4573F"/>
    <w:rsid w:val="00D47BDF"/>
    <w:rsid w:val="00D5099C"/>
    <w:rsid w:val="00D50E4E"/>
    <w:rsid w:val="00D51053"/>
    <w:rsid w:val="00D5111B"/>
    <w:rsid w:val="00D52A97"/>
    <w:rsid w:val="00D542AA"/>
    <w:rsid w:val="00D63C92"/>
    <w:rsid w:val="00D64DE8"/>
    <w:rsid w:val="00D665DB"/>
    <w:rsid w:val="00D70A42"/>
    <w:rsid w:val="00D723B5"/>
    <w:rsid w:val="00D76DDD"/>
    <w:rsid w:val="00D77D06"/>
    <w:rsid w:val="00D854E3"/>
    <w:rsid w:val="00D8708C"/>
    <w:rsid w:val="00D874A3"/>
    <w:rsid w:val="00D91E76"/>
    <w:rsid w:val="00D93F2E"/>
    <w:rsid w:val="00D95837"/>
    <w:rsid w:val="00D96ACA"/>
    <w:rsid w:val="00DA159D"/>
    <w:rsid w:val="00DA15B3"/>
    <w:rsid w:val="00DA19C7"/>
    <w:rsid w:val="00DA2FCA"/>
    <w:rsid w:val="00DA39F4"/>
    <w:rsid w:val="00DA5D30"/>
    <w:rsid w:val="00DB4468"/>
    <w:rsid w:val="00DB6ABF"/>
    <w:rsid w:val="00DB6D20"/>
    <w:rsid w:val="00DB7B30"/>
    <w:rsid w:val="00DC07B9"/>
    <w:rsid w:val="00DC4FF9"/>
    <w:rsid w:val="00DC7EBE"/>
    <w:rsid w:val="00DD22BE"/>
    <w:rsid w:val="00DD3093"/>
    <w:rsid w:val="00DD5730"/>
    <w:rsid w:val="00DD6241"/>
    <w:rsid w:val="00DD71A4"/>
    <w:rsid w:val="00DE61FF"/>
    <w:rsid w:val="00DE7A22"/>
    <w:rsid w:val="00DE7AEF"/>
    <w:rsid w:val="00DE7BCB"/>
    <w:rsid w:val="00DF4DBB"/>
    <w:rsid w:val="00DF5B02"/>
    <w:rsid w:val="00DF6C9F"/>
    <w:rsid w:val="00E027A9"/>
    <w:rsid w:val="00E02D77"/>
    <w:rsid w:val="00E04001"/>
    <w:rsid w:val="00E05A8F"/>
    <w:rsid w:val="00E05C37"/>
    <w:rsid w:val="00E05C5B"/>
    <w:rsid w:val="00E06E9E"/>
    <w:rsid w:val="00E10649"/>
    <w:rsid w:val="00E13C15"/>
    <w:rsid w:val="00E15677"/>
    <w:rsid w:val="00E241AD"/>
    <w:rsid w:val="00E26BF9"/>
    <w:rsid w:val="00E26D75"/>
    <w:rsid w:val="00E27FA4"/>
    <w:rsid w:val="00E3098F"/>
    <w:rsid w:val="00E36309"/>
    <w:rsid w:val="00E408B5"/>
    <w:rsid w:val="00E42C61"/>
    <w:rsid w:val="00E441DC"/>
    <w:rsid w:val="00E44B6F"/>
    <w:rsid w:val="00E46A41"/>
    <w:rsid w:val="00E51AB5"/>
    <w:rsid w:val="00E52DAD"/>
    <w:rsid w:val="00E534EB"/>
    <w:rsid w:val="00E54E17"/>
    <w:rsid w:val="00E56CA8"/>
    <w:rsid w:val="00E56F34"/>
    <w:rsid w:val="00E61551"/>
    <w:rsid w:val="00E62D24"/>
    <w:rsid w:val="00E63169"/>
    <w:rsid w:val="00E632DF"/>
    <w:rsid w:val="00E671D0"/>
    <w:rsid w:val="00E7506D"/>
    <w:rsid w:val="00E76F65"/>
    <w:rsid w:val="00E77555"/>
    <w:rsid w:val="00E77DF7"/>
    <w:rsid w:val="00E77E02"/>
    <w:rsid w:val="00E77E58"/>
    <w:rsid w:val="00E8207A"/>
    <w:rsid w:val="00E87F6A"/>
    <w:rsid w:val="00E90946"/>
    <w:rsid w:val="00E90F2E"/>
    <w:rsid w:val="00E90F84"/>
    <w:rsid w:val="00E91226"/>
    <w:rsid w:val="00E91271"/>
    <w:rsid w:val="00E92574"/>
    <w:rsid w:val="00E92663"/>
    <w:rsid w:val="00E938DE"/>
    <w:rsid w:val="00EA7428"/>
    <w:rsid w:val="00EB0E9B"/>
    <w:rsid w:val="00EB6344"/>
    <w:rsid w:val="00EB6BC5"/>
    <w:rsid w:val="00EB76BE"/>
    <w:rsid w:val="00EC14C7"/>
    <w:rsid w:val="00EC25C0"/>
    <w:rsid w:val="00EC278F"/>
    <w:rsid w:val="00EC43A7"/>
    <w:rsid w:val="00EC52DF"/>
    <w:rsid w:val="00EC6939"/>
    <w:rsid w:val="00ED0461"/>
    <w:rsid w:val="00ED07C6"/>
    <w:rsid w:val="00ED147C"/>
    <w:rsid w:val="00ED22D5"/>
    <w:rsid w:val="00ED2357"/>
    <w:rsid w:val="00ED45E5"/>
    <w:rsid w:val="00ED45F7"/>
    <w:rsid w:val="00ED510D"/>
    <w:rsid w:val="00ED5876"/>
    <w:rsid w:val="00ED58F7"/>
    <w:rsid w:val="00ED6E18"/>
    <w:rsid w:val="00ED76B8"/>
    <w:rsid w:val="00EE0A1C"/>
    <w:rsid w:val="00EE1009"/>
    <w:rsid w:val="00EE18A0"/>
    <w:rsid w:val="00EF114C"/>
    <w:rsid w:val="00EF254F"/>
    <w:rsid w:val="00EF3BA8"/>
    <w:rsid w:val="00EF5DAE"/>
    <w:rsid w:val="00EF750A"/>
    <w:rsid w:val="00F02ABE"/>
    <w:rsid w:val="00F03213"/>
    <w:rsid w:val="00F032DC"/>
    <w:rsid w:val="00F03C67"/>
    <w:rsid w:val="00F055F2"/>
    <w:rsid w:val="00F0568E"/>
    <w:rsid w:val="00F0762D"/>
    <w:rsid w:val="00F1074E"/>
    <w:rsid w:val="00F13551"/>
    <w:rsid w:val="00F15E50"/>
    <w:rsid w:val="00F16B55"/>
    <w:rsid w:val="00F17035"/>
    <w:rsid w:val="00F179ED"/>
    <w:rsid w:val="00F21E44"/>
    <w:rsid w:val="00F22C36"/>
    <w:rsid w:val="00F234B1"/>
    <w:rsid w:val="00F265CC"/>
    <w:rsid w:val="00F26E75"/>
    <w:rsid w:val="00F301AF"/>
    <w:rsid w:val="00F317B8"/>
    <w:rsid w:val="00F32BCB"/>
    <w:rsid w:val="00F33D45"/>
    <w:rsid w:val="00F34E49"/>
    <w:rsid w:val="00F368EC"/>
    <w:rsid w:val="00F36AF8"/>
    <w:rsid w:val="00F37CCA"/>
    <w:rsid w:val="00F40BA3"/>
    <w:rsid w:val="00F455AA"/>
    <w:rsid w:val="00F47AF9"/>
    <w:rsid w:val="00F50063"/>
    <w:rsid w:val="00F52137"/>
    <w:rsid w:val="00F52584"/>
    <w:rsid w:val="00F534FD"/>
    <w:rsid w:val="00F555DF"/>
    <w:rsid w:val="00F55E83"/>
    <w:rsid w:val="00F56A00"/>
    <w:rsid w:val="00F57A4B"/>
    <w:rsid w:val="00F57EC5"/>
    <w:rsid w:val="00F6141B"/>
    <w:rsid w:val="00F65C01"/>
    <w:rsid w:val="00F67469"/>
    <w:rsid w:val="00F70F0C"/>
    <w:rsid w:val="00F72BA8"/>
    <w:rsid w:val="00F7311D"/>
    <w:rsid w:val="00F75402"/>
    <w:rsid w:val="00F75BED"/>
    <w:rsid w:val="00F75FFF"/>
    <w:rsid w:val="00F80836"/>
    <w:rsid w:val="00F858E1"/>
    <w:rsid w:val="00F8619F"/>
    <w:rsid w:val="00F91AEF"/>
    <w:rsid w:val="00FA0C05"/>
    <w:rsid w:val="00FA1607"/>
    <w:rsid w:val="00FA331B"/>
    <w:rsid w:val="00FA7433"/>
    <w:rsid w:val="00FB54A1"/>
    <w:rsid w:val="00FC0129"/>
    <w:rsid w:val="00FC015A"/>
    <w:rsid w:val="00FC03AB"/>
    <w:rsid w:val="00FC092B"/>
    <w:rsid w:val="00FC0ED7"/>
    <w:rsid w:val="00FC455D"/>
    <w:rsid w:val="00FC4686"/>
    <w:rsid w:val="00FC5D48"/>
    <w:rsid w:val="00FC686A"/>
    <w:rsid w:val="00FD1593"/>
    <w:rsid w:val="00FD35AA"/>
    <w:rsid w:val="00FD45A3"/>
    <w:rsid w:val="00FD73B1"/>
    <w:rsid w:val="00FE2D4B"/>
    <w:rsid w:val="00FE372B"/>
    <w:rsid w:val="00FE3C43"/>
    <w:rsid w:val="00FE3F2C"/>
    <w:rsid w:val="00FE68F1"/>
    <w:rsid w:val="00FE76A4"/>
    <w:rsid w:val="00FF054E"/>
    <w:rsid w:val="00FF16E9"/>
    <w:rsid w:val="00FF7348"/>
    <w:rsid w:val="02EA2DD1"/>
    <w:rsid w:val="033A73DB"/>
    <w:rsid w:val="0B1E546B"/>
    <w:rsid w:val="0B7A7E6B"/>
    <w:rsid w:val="0CCC4FEA"/>
    <w:rsid w:val="0E4D215A"/>
    <w:rsid w:val="0FA1450C"/>
    <w:rsid w:val="11D861DF"/>
    <w:rsid w:val="140D46BB"/>
    <w:rsid w:val="145A737F"/>
    <w:rsid w:val="14EC42B7"/>
    <w:rsid w:val="155D0ED5"/>
    <w:rsid w:val="17CA0378"/>
    <w:rsid w:val="189F7A56"/>
    <w:rsid w:val="1A193E0F"/>
    <w:rsid w:val="1A2C356C"/>
    <w:rsid w:val="1BD25A4D"/>
    <w:rsid w:val="1D3764AF"/>
    <w:rsid w:val="1D70551D"/>
    <w:rsid w:val="1D807C38"/>
    <w:rsid w:val="1EE20D32"/>
    <w:rsid w:val="21CC2C48"/>
    <w:rsid w:val="230E31ED"/>
    <w:rsid w:val="277A5916"/>
    <w:rsid w:val="27974344"/>
    <w:rsid w:val="280E2503"/>
    <w:rsid w:val="2B560448"/>
    <w:rsid w:val="2C9F5E1F"/>
    <w:rsid w:val="2CBA4A07"/>
    <w:rsid w:val="2E980D78"/>
    <w:rsid w:val="2F3749A9"/>
    <w:rsid w:val="2FBD1AAD"/>
    <w:rsid w:val="367B6FB5"/>
    <w:rsid w:val="36F80B8F"/>
    <w:rsid w:val="3A185E09"/>
    <w:rsid w:val="3B8D3BB8"/>
    <w:rsid w:val="3C596E60"/>
    <w:rsid w:val="3DA91EB2"/>
    <w:rsid w:val="3FA05CDE"/>
    <w:rsid w:val="406960D0"/>
    <w:rsid w:val="459332F2"/>
    <w:rsid w:val="46D9195C"/>
    <w:rsid w:val="47086B8E"/>
    <w:rsid w:val="49415E3C"/>
    <w:rsid w:val="4A461194"/>
    <w:rsid w:val="4B7F6720"/>
    <w:rsid w:val="4CB42DC9"/>
    <w:rsid w:val="4CDF00B0"/>
    <w:rsid w:val="4EE2777A"/>
    <w:rsid w:val="4F932AC0"/>
    <w:rsid w:val="5044380A"/>
    <w:rsid w:val="52B753C1"/>
    <w:rsid w:val="596655D3"/>
    <w:rsid w:val="5A1857DD"/>
    <w:rsid w:val="5B6555C2"/>
    <w:rsid w:val="5D663C6C"/>
    <w:rsid w:val="5E6737F7"/>
    <w:rsid w:val="5F5A7800"/>
    <w:rsid w:val="60EE1FAE"/>
    <w:rsid w:val="628250A4"/>
    <w:rsid w:val="63901A42"/>
    <w:rsid w:val="63D23E09"/>
    <w:rsid w:val="6BDB75D3"/>
    <w:rsid w:val="6E30177C"/>
    <w:rsid w:val="6ED44ED9"/>
    <w:rsid w:val="70131F0F"/>
    <w:rsid w:val="70F01D72"/>
    <w:rsid w:val="71381023"/>
    <w:rsid w:val="714C65AC"/>
    <w:rsid w:val="720930EC"/>
    <w:rsid w:val="74C005B7"/>
    <w:rsid w:val="75A523D4"/>
    <w:rsid w:val="76C70E7F"/>
    <w:rsid w:val="7ACD6C80"/>
    <w:rsid w:val="7B464622"/>
    <w:rsid w:val="7B691966"/>
    <w:rsid w:val="7BB577CC"/>
    <w:rsid w:val="7BF14461"/>
    <w:rsid w:val="7DEC0AB8"/>
    <w:rsid w:val="DEEFD281"/>
    <w:rsid w:val="FA7D4EF6"/>
    <w:rsid w:val="FBAFD7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自选图形 3"/>
        <o:r id="V:Rule2" type="connector" idref="#自选图形 2"/>
        <o:r id="V:Rule3" type="connector" idref="#_x0000_s103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qFormat="1" w:unhideWhenUsed="0" w:uiPriority="0" w:semiHidden="0"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方正仿宋_GBK" w:hAnsi="Times New Roman" w:eastAsia="方正仿宋_GBK" w:cs="Times New Roman"/>
      <w:snapToGrid w:val="0"/>
      <w:sz w:val="32"/>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rPr>
  </w:style>
  <w:style w:type="paragraph" w:styleId="4">
    <w:name w:val="heading 3"/>
    <w:basedOn w:val="1"/>
    <w:next w:val="1"/>
    <w:qFormat/>
    <w:uiPriority w:val="0"/>
    <w:pPr>
      <w:keepNext/>
      <w:keepLines/>
      <w:spacing w:before="260" w:after="260" w:line="415" w:lineRule="auto"/>
      <w:outlineLvl w:val="2"/>
    </w:pPr>
    <w:rPr>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Arial" w:hAnsi="Arial" w:eastAsia="黑体"/>
      <w:b/>
      <w:sz w:val="20"/>
    </w:rPr>
  </w:style>
  <w:style w:type="paragraph" w:styleId="6">
    <w:name w:val="envelope address"/>
    <w:basedOn w:val="1"/>
    <w:qFormat/>
    <w:uiPriority w:val="0"/>
    <w:pPr>
      <w:ind w:left="2880"/>
    </w:pPr>
    <w:rPr>
      <w:rFonts w:ascii="Arial" w:hAnsi="Arial"/>
      <w:sz w:val="24"/>
    </w:rPr>
  </w:style>
  <w:style w:type="paragraph" w:styleId="7">
    <w:name w:val="annotation text"/>
    <w:basedOn w:val="1"/>
    <w:qFormat/>
    <w:uiPriority w:val="0"/>
    <w:pPr>
      <w:jc w:val="left"/>
    </w:pPr>
  </w:style>
  <w:style w:type="paragraph" w:styleId="8">
    <w:name w:val="Body Text"/>
    <w:basedOn w:val="1"/>
    <w:link w:val="29"/>
    <w:semiHidden/>
    <w:unhideWhenUsed/>
    <w:qFormat/>
    <w:uiPriority w:val="99"/>
    <w:pPr>
      <w:autoSpaceDE/>
      <w:autoSpaceDN/>
      <w:snapToGrid/>
      <w:spacing w:after="120" w:line="240" w:lineRule="auto"/>
      <w:ind w:firstLine="0"/>
    </w:pPr>
    <w:rPr>
      <w:rFonts w:ascii="Times New Roman" w:eastAsia="宋体"/>
      <w:snapToGrid/>
      <w:kern w:val="2"/>
      <w:sz w:val="21"/>
    </w:rPr>
  </w:style>
  <w:style w:type="paragraph" w:styleId="9">
    <w:name w:val="toc 5"/>
    <w:basedOn w:val="1"/>
    <w:next w:val="1"/>
    <w:qFormat/>
    <w:uiPriority w:val="0"/>
    <w:pPr>
      <w:ind w:left="1680"/>
    </w:pPr>
  </w:style>
  <w:style w:type="paragraph" w:styleId="10">
    <w:name w:val="footer"/>
    <w:link w:val="28"/>
    <w:qFormat/>
    <w:uiPriority w:val="0"/>
    <w:pPr>
      <w:widowControl w:val="0"/>
      <w:tabs>
        <w:tab w:val="center" w:pos="4153"/>
        <w:tab w:val="right" w:pos="8306"/>
      </w:tabs>
      <w:autoSpaceDE w:val="0"/>
      <w:autoSpaceDN w:val="0"/>
      <w:snapToGrid w:val="0"/>
      <w:spacing w:line="400" w:lineRule="atLeast"/>
      <w:jc w:val="center"/>
    </w:pPr>
    <w:rPr>
      <w:rFonts w:ascii="方正仿宋_GBK" w:hAnsi="Times New Roman" w:eastAsia="方正仿宋_GBK" w:cs="Times New Roman"/>
      <w:snapToGrid w:val="0"/>
      <w:sz w:val="28"/>
      <w:lang w:val="en-US" w:eastAsia="zh-CN" w:bidi="ar-SA"/>
    </w:rPr>
  </w:style>
  <w:style w:type="paragraph" w:styleId="11">
    <w:name w:val="header"/>
    <w:basedOn w:val="1"/>
    <w:qFormat/>
    <w:uiPriority w:val="0"/>
    <w:pPr>
      <w:pBdr>
        <w:bottom w:val="single" w:color="auto" w:sz="6" w:space="1"/>
      </w:pBdr>
      <w:tabs>
        <w:tab w:val="center" w:pos="4153"/>
        <w:tab w:val="right" w:pos="8307"/>
      </w:tabs>
      <w:jc w:val="center"/>
    </w:pPr>
    <w:rPr>
      <w:sz w:val="18"/>
    </w:rPr>
  </w:style>
  <w:style w:type="paragraph" w:styleId="12">
    <w:name w:val="footnote text"/>
    <w:basedOn w:val="1"/>
    <w:qFormat/>
    <w:uiPriority w:val="0"/>
    <w:pPr>
      <w:jc w:val="left"/>
    </w:pPr>
    <w:rPr>
      <w:sz w:val="18"/>
    </w:rPr>
  </w:style>
  <w:style w:type="paragraph" w:styleId="13">
    <w:name w:val="HTML Preformatted"/>
    <w:qFormat/>
    <w:uiPriority w:val="0"/>
    <w:pPr>
      <w:widowControl w:val="0"/>
      <w:spacing w:before="100" w:beforeAutospacing="1" w:after="100" w:afterAutospacing="1"/>
    </w:pPr>
    <w:rPr>
      <w:rFonts w:ascii="Courier New" w:hAnsi="Courier New" w:eastAsia="宋体" w:cs="Times New Roman"/>
      <w:kern w:val="2"/>
      <w:szCs w:val="21"/>
      <w:lang w:val="en-US" w:eastAsia="zh-CN" w:bidi="ar-SA"/>
    </w:rPr>
  </w:style>
  <w:style w:type="paragraph" w:styleId="14">
    <w:name w:val="Title"/>
    <w:qFormat/>
    <w:uiPriority w:val="0"/>
    <w:pPr>
      <w:widowControl w:val="0"/>
      <w:adjustRightInd w:val="0"/>
      <w:spacing w:line="567" w:lineRule="atLeast"/>
      <w:jc w:val="center"/>
    </w:pPr>
    <w:rPr>
      <w:rFonts w:ascii="黑体" w:hAnsi="Times New Roman" w:eastAsia="黑体" w:cs="Times New Roman"/>
      <w:sz w:val="36"/>
      <w:lang w:val="en-US" w:eastAsia="zh-CN" w:bidi="ar-SA"/>
    </w:rPr>
  </w:style>
  <w:style w:type="table" w:styleId="16">
    <w:name w:val="Table Grid"/>
    <w:basedOn w:val="1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qFormat/>
    <w:uiPriority w:val="0"/>
  </w:style>
  <w:style w:type="character" w:styleId="19">
    <w:name w:val="Hyperlink"/>
    <w:basedOn w:val="17"/>
    <w:qFormat/>
    <w:uiPriority w:val="0"/>
    <w:rPr>
      <w:color w:val="0000FF"/>
      <w:u w:val="single"/>
    </w:rPr>
  </w:style>
  <w:style w:type="paragraph" w:customStyle="1" w:styleId="20">
    <w:name w:val="文头"/>
    <w:next w:val="5"/>
    <w:qFormat/>
    <w:uiPriority w:val="0"/>
    <w:pPr>
      <w:widowControl w:val="0"/>
      <w:overflowPunct w:val="0"/>
      <w:autoSpaceDE w:val="0"/>
      <w:autoSpaceDN w:val="0"/>
      <w:snapToGrid w:val="0"/>
      <w:spacing w:before="100" w:line="800" w:lineRule="exact"/>
      <w:ind w:right="357"/>
      <w:jc w:val="distribute"/>
    </w:pPr>
    <w:rPr>
      <w:rFonts w:ascii="方正小标宋_GBK" w:hAnsi="Times New Roman" w:eastAsia="方正小标宋_GBK" w:cs="Times New Roman"/>
      <w:b/>
      <w:snapToGrid w:val="0"/>
      <w:color w:val="FF0000"/>
      <w:w w:val="90"/>
      <w:sz w:val="76"/>
      <w:lang w:val="en-US" w:eastAsia="zh-CN" w:bidi="ar-SA"/>
    </w:rPr>
  </w:style>
  <w:style w:type="paragraph" w:customStyle="1" w:styleId="21">
    <w:name w:val="红线"/>
    <w:next w:val="9"/>
    <w:qFormat/>
    <w:uiPriority w:val="0"/>
    <w:pPr>
      <w:widowControl w:val="0"/>
      <w:autoSpaceDE w:val="0"/>
      <w:autoSpaceDN w:val="0"/>
      <w:adjustRightInd w:val="0"/>
      <w:spacing w:after="851" w:line="227" w:lineRule="atLeast"/>
      <w:ind w:right="-142"/>
      <w:jc w:val="center"/>
    </w:pPr>
    <w:rPr>
      <w:rFonts w:ascii="宋体" w:hAnsi="Times New Roman" w:eastAsia="宋体" w:cs="Times New Roman"/>
      <w:b/>
      <w:snapToGrid w:val="0"/>
      <w:sz w:val="10"/>
      <w:lang w:val="en-US" w:eastAsia="zh-CN" w:bidi="ar-SA"/>
    </w:rPr>
  </w:style>
  <w:style w:type="paragraph" w:customStyle="1" w:styleId="22">
    <w:name w:val="主送单位"/>
    <w:next w:val="1"/>
    <w:qFormat/>
    <w:uiPriority w:val="0"/>
    <w:pPr>
      <w:widowControl w:val="0"/>
      <w:adjustRightInd w:val="0"/>
      <w:spacing w:line="567" w:lineRule="atLeast"/>
    </w:pPr>
    <w:rPr>
      <w:rFonts w:ascii="Times New Roman" w:hAnsi="Times New Roman" w:eastAsia="仿宋_GB2312" w:cs="Times New Roman"/>
      <w:sz w:val="32"/>
      <w:lang w:val="en-US" w:eastAsia="zh-CN" w:bidi="ar-SA"/>
    </w:rPr>
  </w:style>
  <w:style w:type="paragraph" w:customStyle="1" w:styleId="23">
    <w:name w:val="线型"/>
    <w:next w:val="12"/>
    <w:qFormat/>
    <w:uiPriority w:val="0"/>
    <w:pPr>
      <w:widowControl w:val="0"/>
      <w:autoSpaceDE w:val="0"/>
      <w:autoSpaceDN w:val="0"/>
      <w:adjustRightInd w:val="0"/>
      <w:ind w:right="357"/>
      <w:jc w:val="center"/>
    </w:pPr>
    <w:rPr>
      <w:rFonts w:ascii="方正仿宋_GBK" w:hAnsi="Times New Roman" w:eastAsia="方正仿宋_GBK" w:cs="Times New Roman"/>
      <w:snapToGrid w:val="0"/>
      <w:sz w:val="21"/>
      <w:lang w:val="en-US" w:eastAsia="zh-CN" w:bidi="ar-SA"/>
    </w:rPr>
  </w:style>
  <w:style w:type="paragraph" w:customStyle="1" w:styleId="24">
    <w:name w:val="印发栏"/>
    <w:next w:val="7"/>
    <w:qFormat/>
    <w:uiPriority w:val="0"/>
    <w:pPr>
      <w:widowControl w:val="0"/>
      <w:tabs>
        <w:tab w:val="right" w:pos="8465"/>
      </w:tabs>
      <w:autoSpaceDE w:val="0"/>
      <w:autoSpaceDN w:val="0"/>
      <w:adjustRightInd w:val="0"/>
      <w:spacing w:line="500" w:lineRule="atLeast"/>
      <w:ind w:left="357" w:right="357"/>
    </w:pPr>
    <w:rPr>
      <w:rFonts w:ascii="方正仿宋_GBK" w:hAnsi="Times New Roman" w:eastAsia="方正仿宋_GBK" w:cs="Times New Roman"/>
      <w:snapToGrid w:val="0"/>
      <w:sz w:val="32"/>
      <w:lang w:val="en-US" w:eastAsia="zh-CN" w:bidi="ar-SA"/>
    </w:rPr>
  </w:style>
  <w:style w:type="paragraph" w:customStyle="1" w:styleId="25">
    <w:name w:val="p0"/>
    <w:qFormat/>
    <w:uiPriority w:val="0"/>
    <w:pPr>
      <w:autoSpaceDE w:val="0"/>
      <w:autoSpaceDN w:val="0"/>
      <w:snapToGrid w:val="0"/>
      <w:spacing w:line="590" w:lineRule="atLeast"/>
      <w:ind w:firstLine="624"/>
      <w:jc w:val="both"/>
    </w:pPr>
    <w:rPr>
      <w:rFonts w:ascii="Times New Roman" w:hAnsi="Times New Roman" w:eastAsia="宋体" w:cs="Times New Roman"/>
      <w:snapToGrid w:val="0"/>
      <w:sz w:val="32"/>
      <w:szCs w:val="21"/>
      <w:lang w:val="en-US" w:eastAsia="zh-CN" w:bidi="ar-SA"/>
    </w:rPr>
  </w:style>
  <w:style w:type="paragraph" w:customStyle="1" w:styleId="26">
    <w:name w:val="标题1"/>
    <w:basedOn w:val="1"/>
    <w:next w:val="1"/>
    <w:qFormat/>
    <w:uiPriority w:val="0"/>
    <w:pPr>
      <w:tabs>
        <w:tab w:val="left" w:pos="9193"/>
        <w:tab w:val="left" w:pos="9827"/>
      </w:tabs>
      <w:autoSpaceDN/>
      <w:spacing w:line="700" w:lineRule="atLeast"/>
      <w:ind w:firstLine="0"/>
      <w:jc w:val="center"/>
    </w:pPr>
    <w:rPr>
      <w:rFonts w:ascii="Times New Roman" w:eastAsia="方正小标宋_GBK"/>
      <w:snapToGrid/>
      <w:sz w:val="44"/>
    </w:rPr>
  </w:style>
  <w:style w:type="paragraph" w:styleId="27">
    <w:name w:val="List Paragraph"/>
    <w:basedOn w:val="1"/>
    <w:qFormat/>
    <w:uiPriority w:val="34"/>
    <w:pPr>
      <w:autoSpaceDE/>
      <w:autoSpaceDN/>
      <w:snapToGrid/>
      <w:spacing w:line="240" w:lineRule="auto"/>
      <w:ind w:firstLine="420" w:firstLineChars="200"/>
    </w:pPr>
    <w:rPr>
      <w:rFonts w:asciiTheme="minorHAnsi" w:hAnsiTheme="minorHAnsi" w:eastAsiaTheme="minorEastAsia" w:cstheme="minorBidi"/>
      <w:snapToGrid/>
      <w:kern w:val="2"/>
      <w:sz w:val="21"/>
      <w:szCs w:val="22"/>
    </w:rPr>
  </w:style>
  <w:style w:type="character" w:customStyle="1" w:styleId="28">
    <w:name w:val="页脚 Char"/>
    <w:basedOn w:val="17"/>
    <w:link w:val="10"/>
    <w:qFormat/>
    <w:uiPriority w:val="0"/>
    <w:rPr>
      <w:rFonts w:ascii="方正仿宋_GBK" w:eastAsia="方正仿宋_GBK"/>
      <w:snapToGrid w:val="0"/>
      <w:sz w:val="28"/>
    </w:rPr>
  </w:style>
  <w:style w:type="character" w:customStyle="1" w:styleId="29">
    <w:name w:val="正文文本 Char"/>
    <w:basedOn w:val="17"/>
    <w:link w:val="8"/>
    <w:semiHidden/>
    <w:qFormat/>
    <w:uiPriority w:val="99"/>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2"/>
    <customShpInfo spid="_x0000_s1033"/>
    <customShpInfo spid="_x0000_s1034"/>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A138A0-E26A-4BB1-B97A-4F7E4ED58F1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3490</Words>
  <Characters>3556</Characters>
  <Lines>43</Lines>
  <Paragraphs>12</Paragraphs>
  <TotalTime>4</TotalTime>
  <ScaleCrop>false</ScaleCrop>
  <LinksUpToDate>false</LinksUpToDate>
  <CharactersWithSpaces>3610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2025-08-05T07:47:00Z</dcterms:created>
  <dc:creator>taiji</dc:creator>
  <cp:lastModifiedBy>璐璐</cp:lastModifiedBy>
  <cp:lastPrinted>2025-09-24T01:40:00Z</cp:lastPrinted>
  <dcterms:modified xsi:type="dcterms:W3CDTF">2025-12-03T16:28:18Z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FB465AF1D0AA4BD6B3F74BAF85C7E294_12</vt:lpwstr>
  </property>
  <property fmtid="{D5CDD505-2E9C-101B-9397-08002B2CF9AE}" pid="4" name="KSOTemplateDocerSaveRecord">
    <vt:lpwstr>eyJoZGlkIjoiYmEzM2I3MzBjNWZkODA5ZGFkOTZlZDI2ODA0MzAwNWUiLCJ1c2VySWQiOiI0MzYzNDkwNDcifQ==</vt:lpwstr>
  </property>
</Properties>
</file>