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058103">
      <w:pPr>
        <w:spacing w:line="640" w:lineRule="exact"/>
        <w:jc w:val="center"/>
        <w:rPr>
          <w:rFonts w:hint="eastAsia" w:ascii="方正小标宋_GBK" w:eastAsia="方正小标宋_GBK" w:cs="Times New Roman"/>
          <w:sz w:val="44"/>
          <w:szCs w:val="44"/>
        </w:rPr>
      </w:pPr>
      <w:r>
        <w:rPr>
          <w:rFonts w:hint="eastAsia" w:ascii="方正小标宋_GBK" w:eastAsia="方正小标宋_GBK" w:cs="Times New Roman"/>
          <w:sz w:val="44"/>
          <w:szCs w:val="44"/>
        </w:rPr>
        <w:t>关于</w:t>
      </w:r>
      <w:r>
        <w:rPr>
          <w:rFonts w:hint="eastAsia" w:ascii="方正小标宋_GBK" w:eastAsia="方正小标宋_GBK" w:cs="Times New Roman"/>
          <w:sz w:val="44"/>
          <w:szCs w:val="44"/>
          <w:lang w:eastAsia="zh-CN"/>
        </w:rPr>
        <w:t>《</w:t>
      </w:r>
      <w:r>
        <w:rPr>
          <w:rFonts w:hint="eastAsia" w:ascii="方正小标宋_GBK" w:eastAsia="方正小标宋_GBK" w:cs="Times New Roman"/>
          <w:sz w:val="44"/>
          <w:szCs w:val="44"/>
        </w:rPr>
        <w:t>淮安区加强殡葬服务收费管理</w:t>
      </w:r>
    </w:p>
    <w:p w14:paraId="6B1A9D5A">
      <w:pPr>
        <w:spacing w:line="640" w:lineRule="exact"/>
        <w:jc w:val="left"/>
        <w:rPr>
          <w:rFonts w:ascii="方正小标宋_GBK" w:eastAsia="方正小标宋_GBK" w:cs="Times New Roman"/>
          <w:sz w:val="44"/>
          <w:szCs w:val="44"/>
        </w:rPr>
      </w:pPr>
      <w:r>
        <w:rPr>
          <w:rFonts w:hint="eastAsia" w:ascii="方正小标宋_GBK" w:eastAsia="方正小标宋_GBK" w:cs="Times New Roman"/>
          <w:sz w:val="44"/>
          <w:szCs w:val="44"/>
        </w:rPr>
        <w:t>有关事项的通知</w:t>
      </w:r>
      <w:r>
        <w:rPr>
          <w:rFonts w:hint="eastAsia" w:ascii="方正小标宋_GBK" w:eastAsia="方正小标宋_GBK" w:cs="Times New Roman"/>
          <w:sz w:val="44"/>
          <w:szCs w:val="44"/>
          <w:lang w:eastAsia="zh-CN"/>
        </w:rPr>
        <w:t>》</w:t>
      </w:r>
      <w:r>
        <w:rPr>
          <w:rFonts w:hint="eastAsia" w:ascii="方正小标宋_GBK" w:eastAsia="方正小标宋_GBK" w:cs="Times New Roman"/>
          <w:sz w:val="44"/>
          <w:szCs w:val="44"/>
        </w:rPr>
        <w:t>（征求意见稿）的</w:t>
      </w:r>
      <w:r>
        <w:rPr>
          <w:rFonts w:ascii="方正小标宋_GBK" w:eastAsia="方正小标宋_GBK"/>
          <w:kern w:val="0"/>
          <w:sz w:val="44"/>
          <w:szCs w:val="44"/>
        </w:rPr>
        <w:t>起草</w:t>
      </w:r>
      <w:r>
        <w:rPr>
          <w:rFonts w:hint="eastAsia" w:ascii="方正小标宋_GBK" w:eastAsia="方正小标宋_GBK"/>
          <w:kern w:val="0"/>
          <w:sz w:val="44"/>
          <w:szCs w:val="44"/>
        </w:rPr>
        <w:t>说明</w:t>
      </w:r>
    </w:p>
    <w:p w14:paraId="03B50275">
      <w:pPr>
        <w:spacing w:line="640" w:lineRule="exact"/>
        <w:jc w:val="center"/>
        <w:rPr>
          <w:rFonts w:ascii="Times New Roman" w:eastAsia="仿宋_GB2312" w:cs="Times New Roman"/>
          <w:color w:val="000000" w:themeColor="text1"/>
          <w:sz w:val="32"/>
          <w:szCs w:val="32"/>
        </w:rPr>
      </w:pPr>
    </w:p>
    <w:p w14:paraId="6E06CA9A">
      <w:pPr>
        <w:spacing w:line="550" w:lineRule="exact"/>
        <w:ind w:firstLine="640" w:firstLineChars="200"/>
        <w:rPr>
          <w:rFonts w:ascii="Times New Roman" w:eastAsia="仿宋_GB2312" w:cs="Times New Roman"/>
          <w:color w:val="000000" w:themeColor="text1"/>
          <w:sz w:val="32"/>
          <w:szCs w:val="32"/>
        </w:rPr>
      </w:pPr>
      <w:r>
        <w:rPr>
          <w:rFonts w:hint="eastAsia" w:ascii="Times New Roman" w:eastAsia="仿宋_GB2312" w:cs="Times New Roman"/>
          <w:color w:val="000000" w:themeColor="text1"/>
          <w:sz w:val="32"/>
          <w:szCs w:val="32"/>
        </w:rPr>
        <w:t>根据《省发改委、省民政厅、省市场监管局关于进一步加强殡葬服务收费管理有关事项的通知》（苏发改收费发〔2025〕69号）</w:t>
      </w:r>
      <w:r>
        <w:rPr>
          <w:rFonts w:ascii="Times New Roman" w:eastAsia="仿宋_GB2312" w:cs="Times New Roman"/>
          <w:color w:val="000000" w:themeColor="text1"/>
          <w:sz w:val="32"/>
          <w:szCs w:val="32"/>
        </w:rPr>
        <w:t>、</w:t>
      </w:r>
      <w:r>
        <w:rPr>
          <w:rFonts w:hint="eastAsia" w:ascii="Times New Roman" w:eastAsia="仿宋_GB2312" w:cs="Times New Roman"/>
          <w:color w:val="000000" w:themeColor="text1"/>
          <w:sz w:val="32"/>
          <w:szCs w:val="32"/>
        </w:rPr>
        <w:t>《淮安市公墓管理实施办法》（淮政规〔2024〕7号）、《淮安市公墓管理实施办法》（淮政规〔2024〕7号）、《关于公布淮安市殡葬基本服务项目、延伸服务项目和殡葬用品清单（试行）的通知》（淮民事〔2025〕16号）</w:t>
      </w:r>
      <w:r>
        <w:rPr>
          <w:rFonts w:hint="eastAsia" w:ascii="Times New Roman" w:eastAsia="仿宋_GB2312" w:cs="Times New Roman"/>
          <w:color w:val="000000" w:themeColor="text1"/>
          <w:sz w:val="32"/>
          <w:szCs w:val="32"/>
          <w:lang w:eastAsia="zh-CN"/>
        </w:rPr>
        <w:t>、《关于进一步规范殡葬服务收费管理有关事项的通知》（淮发改办〔2025〕116号）</w:t>
      </w:r>
      <w:r>
        <w:rPr>
          <w:rFonts w:ascii="Times New Roman" w:eastAsia="仿宋_GB2312" w:cs="Times New Roman"/>
          <w:color w:val="000000" w:themeColor="text1"/>
          <w:sz w:val="32"/>
          <w:szCs w:val="32"/>
        </w:rPr>
        <w:t>要求，</w:t>
      </w:r>
      <w:r>
        <w:rPr>
          <w:rFonts w:hint="eastAsia" w:ascii="Times New Roman" w:eastAsia="仿宋_GB2312" w:cs="Times New Roman"/>
          <w:color w:val="000000" w:themeColor="text1"/>
          <w:sz w:val="32"/>
          <w:szCs w:val="32"/>
          <w:lang w:eastAsia="zh-CN"/>
        </w:rPr>
        <w:t>区</w:t>
      </w:r>
      <w:r>
        <w:rPr>
          <w:rFonts w:ascii="Times New Roman" w:eastAsia="仿宋_GB2312" w:cs="Times New Roman"/>
          <w:color w:val="000000" w:themeColor="text1"/>
          <w:sz w:val="32"/>
          <w:szCs w:val="32"/>
        </w:rPr>
        <w:t>发展改革委会同</w:t>
      </w:r>
      <w:r>
        <w:rPr>
          <w:rFonts w:hint="eastAsia" w:ascii="Times New Roman" w:eastAsia="仿宋_GB2312" w:cs="Times New Roman"/>
          <w:color w:val="000000" w:themeColor="text1"/>
          <w:sz w:val="32"/>
          <w:szCs w:val="32"/>
          <w:lang w:eastAsia="zh-CN"/>
        </w:rPr>
        <w:t>区</w:t>
      </w:r>
      <w:r>
        <w:rPr>
          <w:rFonts w:ascii="Times New Roman" w:eastAsia="仿宋_GB2312" w:cs="Times New Roman"/>
          <w:color w:val="000000" w:themeColor="text1"/>
          <w:sz w:val="32"/>
          <w:szCs w:val="32"/>
        </w:rPr>
        <w:t>民政局</w:t>
      </w:r>
      <w:r>
        <w:rPr>
          <w:rFonts w:hint="eastAsia" w:ascii="Times New Roman" w:eastAsia="仿宋_GB2312" w:cs="Times New Roman"/>
          <w:color w:val="000000" w:themeColor="text1"/>
          <w:sz w:val="32"/>
          <w:szCs w:val="32"/>
        </w:rPr>
        <w:t>、</w:t>
      </w:r>
      <w:r>
        <w:rPr>
          <w:rFonts w:hint="eastAsia" w:ascii="Times New Roman" w:eastAsia="仿宋_GB2312" w:cs="Times New Roman"/>
          <w:color w:val="000000" w:themeColor="text1"/>
          <w:sz w:val="32"/>
          <w:szCs w:val="32"/>
          <w:lang w:eastAsia="zh-CN"/>
        </w:rPr>
        <w:t>区</w:t>
      </w:r>
      <w:r>
        <w:rPr>
          <w:rFonts w:hint="eastAsia" w:ascii="Times New Roman" w:eastAsia="仿宋_GB2312" w:cs="Times New Roman"/>
          <w:color w:val="000000" w:themeColor="text1"/>
          <w:sz w:val="32"/>
          <w:szCs w:val="32"/>
        </w:rPr>
        <w:t>市场监管局</w:t>
      </w:r>
      <w:r>
        <w:rPr>
          <w:rFonts w:ascii="Times New Roman" w:eastAsia="仿宋_GB2312" w:cs="Times New Roman"/>
          <w:color w:val="000000" w:themeColor="text1"/>
          <w:sz w:val="32"/>
          <w:szCs w:val="32"/>
        </w:rPr>
        <w:t>起草了</w:t>
      </w:r>
      <w:r>
        <w:rPr>
          <w:rFonts w:hint="eastAsia" w:ascii="Times New Roman" w:eastAsia="仿宋_GB2312" w:cs="Times New Roman"/>
          <w:color w:val="000000" w:themeColor="text1"/>
          <w:sz w:val="32"/>
          <w:szCs w:val="32"/>
          <w:lang w:eastAsia="zh-CN"/>
        </w:rPr>
        <w:t>《</w:t>
      </w:r>
      <w:r>
        <w:rPr>
          <w:rFonts w:hint="eastAsia" w:ascii="Times New Roman" w:eastAsia="仿宋_GB2312" w:cs="Times New Roman"/>
          <w:color w:val="000000" w:themeColor="text1"/>
          <w:sz w:val="32"/>
          <w:szCs w:val="32"/>
        </w:rPr>
        <w:t>淮安区加强殡葬服务收费管理有关事项的通知</w:t>
      </w:r>
      <w:r>
        <w:rPr>
          <w:rFonts w:hint="eastAsia" w:ascii="Times New Roman" w:eastAsia="仿宋_GB2312" w:cs="Times New Roman"/>
          <w:color w:val="000000" w:themeColor="text1"/>
          <w:sz w:val="32"/>
          <w:szCs w:val="32"/>
          <w:lang w:eastAsia="zh-CN"/>
        </w:rPr>
        <w:t>》</w:t>
      </w:r>
      <w:r>
        <w:rPr>
          <w:rFonts w:hint="eastAsia" w:ascii="Times New Roman" w:eastAsia="仿宋_GB2312" w:cs="Times New Roman"/>
          <w:color w:val="000000" w:themeColor="text1"/>
          <w:sz w:val="32"/>
          <w:szCs w:val="32"/>
        </w:rPr>
        <w:t>（征求意见稿）</w:t>
      </w:r>
      <w:r>
        <w:rPr>
          <w:rFonts w:ascii="Times New Roman" w:eastAsia="仿宋_GB2312" w:cs="Times New Roman"/>
          <w:color w:val="000000" w:themeColor="text1"/>
          <w:sz w:val="32"/>
          <w:szCs w:val="32"/>
        </w:rPr>
        <w:t>，现将起草情况说明如下：</w:t>
      </w:r>
    </w:p>
    <w:p w14:paraId="4CA6858C">
      <w:pPr>
        <w:pStyle w:val="14"/>
        <w:numPr>
          <w:ilvl w:val="0"/>
          <w:numId w:val="1"/>
        </w:numPr>
        <w:spacing w:line="550" w:lineRule="exact"/>
        <w:ind w:firstLineChars="0"/>
        <w:jc w:val="left"/>
        <w:rPr>
          <w:rFonts w:ascii="黑体" w:hAnsi="黑体" w:eastAsia="黑体" w:cs="Times New Roman"/>
          <w:sz w:val="32"/>
          <w:szCs w:val="32"/>
        </w:rPr>
      </w:pPr>
      <w:r>
        <w:rPr>
          <w:rFonts w:ascii="黑体" w:hAnsi="黑体" w:eastAsia="黑体" w:cs="Times New Roman"/>
          <w:sz w:val="32"/>
          <w:szCs w:val="32"/>
        </w:rPr>
        <w:t>起草背景</w:t>
      </w:r>
    </w:p>
    <w:p w14:paraId="52531E46">
      <w:pPr>
        <w:spacing w:line="550" w:lineRule="exact"/>
        <w:ind w:firstLine="640" w:firstLineChars="200"/>
        <w:jc w:val="left"/>
        <w:rPr>
          <w:rFonts w:ascii="Times New Roman" w:eastAsia="仿宋_GB2312" w:cs="Times New Roman"/>
          <w:color w:val="000000"/>
          <w:sz w:val="32"/>
          <w:szCs w:val="32"/>
        </w:rPr>
      </w:pPr>
      <w:r>
        <w:rPr>
          <w:rFonts w:hint="eastAsia" w:ascii="Times New Roman" w:eastAsia="仿宋_GB2312" w:cs="Times New Roman"/>
          <w:color w:val="000000"/>
          <w:sz w:val="32"/>
          <w:szCs w:val="32"/>
        </w:rPr>
        <w:t>为深入贯彻</w:t>
      </w:r>
      <w:r>
        <w:rPr>
          <w:rFonts w:ascii="Times New Roman" w:eastAsia="仿宋_GB2312" w:cs="Times New Roman"/>
          <w:color w:val="000000"/>
          <w:sz w:val="32"/>
          <w:szCs w:val="32"/>
        </w:rPr>
        <w:t>习近平总书记</w:t>
      </w:r>
      <w:r>
        <w:rPr>
          <w:rFonts w:hint="eastAsia" w:ascii="Times New Roman" w:eastAsia="仿宋_GB2312" w:cs="Times New Roman"/>
          <w:color w:val="000000"/>
          <w:sz w:val="32"/>
          <w:szCs w:val="32"/>
        </w:rPr>
        <w:t>关于殡葬领域</w:t>
      </w:r>
      <w:r>
        <w:rPr>
          <w:rFonts w:ascii="Times New Roman" w:eastAsia="仿宋_GB2312" w:cs="Times New Roman"/>
          <w:color w:val="000000"/>
          <w:sz w:val="32"/>
          <w:szCs w:val="32"/>
        </w:rPr>
        <w:t>重要指示批示精神</w:t>
      </w:r>
      <w:r>
        <w:rPr>
          <w:rFonts w:hint="eastAsia" w:ascii="Times New Roman" w:eastAsia="仿宋_GB2312" w:cs="Times New Roman"/>
          <w:color w:val="000000"/>
          <w:sz w:val="32"/>
          <w:szCs w:val="32"/>
        </w:rPr>
        <w:t>，加强殡葬服务收费管理，进一步规范我</w:t>
      </w:r>
      <w:r>
        <w:rPr>
          <w:rFonts w:hint="eastAsia" w:ascii="Times New Roman" w:eastAsia="仿宋_GB2312" w:cs="Times New Roman"/>
          <w:color w:val="000000"/>
          <w:sz w:val="32"/>
          <w:szCs w:val="32"/>
          <w:lang w:eastAsia="zh-CN"/>
        </w:rPr>
        <w:t>区</w:t>
      </w:r>
      <w:r>
        <w:rPr>
          <w:rFonts w:hint="eastAsia" w:ascii="Times New Roman" w:eastAsia="仿宋_GB2312" w:cs="Times New Roman"/>
          <w:color w:val="000000"/>
          <w:sz w:val="32"/>
          <w:szCs w:val="32"/>
        </w:rPr>
        <w:t>殡葬服务收费行为，保障群众基本殡葬服务需求，根据国家和省规范殡葬服务管理有关要求，全面推行“殡葬收费清单制、公墓墓葬一价清、所有收费全公开、清单之外无收费”管理机制，促进殡葬改革和殡葬事业健康发展。</w:t>
      </w:r>
    </w:p>
    <w:p w14:paraId="3FFB7DDD">
      <w:pPr>
        <w:spacing w:line="550" w:lineRule="exact"/>
        <w:ind w:firstLine="640" w:firstLineChars="200"/>
        <w:jc w:val="left"/>
        <w:rPr>
          <w:rFonts w:ascii="黑体" w:hAnsi="黑体" w:eastAsia="黑体" w:cs="Times New Roman"/>
          <w:color w:val="000000"/>
          <w:sz w:val="32"/>
          <w:szCs w:val="32"/>
        </w:rPr>
      </w:pPr>
      <w:r>
        <w:rPr>
          <w:rFonts w:ascii="黑体" w:hAnsi="黑体" w:eastAsia="黑体" w:cs="Times New Roman"/>
          <w:color w:val="000000" w:themeColor="text1"/>
          <w:sz w:val="32"/>
          <w:szCs w:val="32"/>
        </w:rPr>
        <w:t>二、</w:t>
      </w:r>
      <w:r>
        <w:rPr>
          <w:rFonts w:ascii="黑体" w:hAnsi="黑体" w:eastAsia="黑体" w:cs="Times New Roman"/>
          <w:sz w:val="32"/>
          <w:szCs w:val="32"/>
        </w:rPr>
        <w:t>起草过程</w:t>
      </w:r>
    </w:p>
    <w:p w14:paraId="05B3D7DB">
      <w:pPr>
        <w:spacing w:line="550" w:lineRule="exact"/>
        <w:ind w:firstLine="640" w:firstLineChars="200"/>
        <w:rPr>
          <w:rFonts w:ascii="Times New Roman" w:eastAsia="方正仿宋_GBK" w:cs="Times New Roman"/>
          <w:sz w:val="32"/>
          <w:szCs w:val="32"/>
        </w:rPr>
      </w:pPr>
      <w:r>
        <w:rPr>
          <w:rFonts w:ascii="楷体" w:hAnsi="楷体" w:eastAsia="楷体" w:cs="Times New Roman"/>
          <w:sz w:val="32"/>
          <w:szCs w:val="32"/>
        </w:rPr>
        <w:t>1、</w:t>
      </w:r>
      <w:r>
        <w:rPr>
          <w:rFonts w:hint="eastAsia" w:ascii="楷体" w:hAnsi="楷体" w:eastAsia="楷体" w:cs="Times New Roman"/>
          <w:sz w:val="32"/>
          <w:szCs w:val="32"/>
        </w:rPr>
        <w:t>加强政策</w:t>
      </w:r>
      <w:r>
        <w:rPr>
          <w:rFonts w:ascii="楷体" w:hAnsi="楷体" w:eastAsia="楷体" w:cs="Times New Roman"/>
          <w:sz w:val="32"/>
          <w:szCs w:val="32"/>
        </w:rPr>
        <w:t>调研。</w:t>
      </w:r>
      <w:r>
        <w:rPr>
          <w:rFonts w:ascii="Times New Roman" w:eastAsia="仿宋_GB2312" w:cs="Times New Roman"/>
          <w:color w:val="000000"/>
          <w:sz w:val="32"/>
          <w:szCs w:val="32"/>
        </w:rPr>
        <w:t>从202</w:t>
      </w:r>
      <w:r>
        <w:rPr>
          <w:rFonts w:hint="eastAsia" w:ascii="Times New Roman" w:eastAsia="仿宋_GB2312" w:cs="Times New Roman"/>
          <w:color w:val="000000"/>
          <w:sz w:val="32"/>
          <w:szCs w:val="32"/>
        </w:rPr>
        <w:t>5</w:t>
      </w:r>
      <w:r>
        <w:rPr>
          <w:rFonts w:ascii="Times New Roman" w:eastAsia="仿宋_GB2312" w:cs="Times New Roman"/>
          <w:color w:val="000000"/>
          <w:sz w:val="32"/>
          <w:szCs w:val="32"/>
        </w:rPr>
        <w:t>年</w:t>
      </w:r>
      <w:r>
        <w:rPr>
          <w:rFonts w:hint="eastAsia" w:ascii="Times New Roman" w:eastAsia="仿宋_GB2312" w:cs="Times New Roman"/>
          <w:color w:val="000000"/>
          <w:sz w:val="32"/>
          <w:szCs w:val="32"/>
          <w:lang w:val="en-US" w:eastAsia="zh-CN"/>
        </w:rPr>
        <w:t>7</w:t>
      </w:r>
      <w:r>
        <w:rPr>
          <w:rFonts w:ascii="Times New Roman" w:eastAsia="仿宋_GB2312" w:cs="Times New Roman"/>
          <w:color w:val="000000"/>
          <w:sz w:val="32"/>
          <w:szCs w:val="32"/>
        </w:rPr>
        <w:t>月起，</w:t>
      </w:r>
      <w:r>
        <w:rPr>
          <w:rFonts w:hint="eastAsia" w:ascii="Times New Roman" w:eastAsia="仿宋_GB2312" w:cs="Times New Roman"/>
          <w:color w:val="000000"/>
          <w:sz w:val="32"/>
          <w:szCs w:val="32"/>
        </w:rPr>
        <w:t>调研了</w:t>
      </w:r>
      <w:r>
        <w:rPr>
          <w:rFonts w:hint="eastAsia" w:ascii="Times New Roman" w:eastAsia="仿宋_GB2312" w:cs="Times New Roman"/>
          <w:color w:val="000000"/>
          <w:sz w:val="32"/>
          <w:szCs w:val="32"/>
          <w:lang w:eastAsia="zh-CN"/>
        </w:rPr>
        <w:t>其他县区</w:t>
      </w:r>
      <w:r>
        <w:rPr>
          <w:rFonts w:hint="eastAsia" w:ascii="Times New Roman" w:eastAsia="仿宋_GB2312" w:cs="Times New Roman"/>
          <w:color w:val="000000"/>
          <w:sz w:val="32"/>
          <w:szCs w:val="32"/>
        </w:rPr>
        <w:t>关于殡葬服务和收费管理相关政策，研究分析相关政策条款</w:t>
      </w:r>
      <w:r>
        <w:rPr>
          <w:rFonts w:ascii="Times New Roman" w:eastAsia="仿宋_GB2312" w:cs="Times New Roman"/>
          <w:sz w:val="32"/>
          <w:szCs w:val="32"/>
        </w:rPr>
        <w:t>，</w:t>
      </w:r>
      <w:r>
        <w:rPr>
          <w:rFonts w:hint="eastAsia" w:ascii="Times New Roman" w:eastAsia="仿宋_GB2312" w:cs="Times New Roman"/>
          <w:color w:val="000000"/>
          <w:sz w:val="32"/>
          <w:szCs w:val="32"/>
        </w:rPr>
        <w:t>加强数据对比分析，</w:t>
      </w:r>
      <w:r>
        <w:rPr>
          <w:rFonts w:ascii="Times New Roman" w:eastAsia="仿宋_GB2312" w:cs="Times New Roman"/>
          <w:bCs/>
          <w:sz w:val="32"/>
          <w:szCs w:val="32"/>
        </w:rPr>
        <w:t>借鉴吸收</w:t>
      </w:r>
      <w:r>
        <w:rPr>
          <w:rFonts w:hint="eastAsia" w:ascii="Times New Roman" w:eastAsia="仿宋_GB2312" w:cs="Times New Roman"/>
          <w:bCs/>
          <w:sz w:val="32"/>
          <w:szCs w:val="32"/>
        </w:rPr>
        <w:t>经验做法</w:t>
      </w:r>
      <w:r>
        <w:rPr>
          <w:rFonts w:ascii="Times New Roman" w:eastAsia="仿宋_GB2312" w:cs="Times New Roman"/>
          <w:sz w:val="32"/>
          <w:szCs w:val="32"/>
        </w:rPr>
        <w:t>。</w:t>
      </w:r>
    </w:p>
    <w:p w14:paraId="4902A615">
      <w:pPr>
        <w:spacing w:line="550" w:lineRule="exact"/>
        <w:ind w:firstLine="640" w:firstLineChars="200"/>
        <w:rPr>
          <w:rFonts w:ascii="Times New Roman" w:eastAsia="仿宋_GB2312" w:cs="Times New Roman"/>
          <w:color w:val="000000"/>
          <w:sz w:val="32"/>
          <w:szCs w:val="32"/>
        </w:rPr>
      </w:pPr>
      <w:r>
        <w:rPr>
          <w:rFonts w:hint="eastAsia" w:ascii="楷体" w:hAnsi="楷体" w:eastAsia="楷体" w:cs="Times New Roman"/>
          <w:sz w:val="32"/>
          <w:szCs w:val="32"/>
        </w:rPr>
        <w:t>2</w:t>
      </w:r>
      <w:r>
        <w:rPr>
          <w:rFonts w:ascii="楷体" w:hAnsi="楷体" w:eastAsia="楷体" w:cs="Times New Roman"/>
          <w:sz w:val="32"/>
          <w:szCs w:val="32"/>
        </w:rPr>
        <w:t>、</w:t>
      </w:r>
      <w:r>
        <w:rPr>
          <w:rFonts w:hint="eastAsia" w:ascii="楷体" w:hAnsi="楷体" w:eastAsia="楷体" w:cs="Times New Roman"/>
          <w:sz w:val="32"/>
          <w:szCs w:val="32"/>
        </w:rPr>
        <w:t>开展</w:t>
      </w:r>
      <w:r>
        <w:rPr>
          <w:rFonts w:hint="eastAsia" w:ascii="楷体" w:hAnsi="楷体" w:eastAsia="楷体" w:cs="Times New Roman"/>
          <w:sz w:val="32"/>
          <w:szCs w:val="32"/>
          <w:lang w:eastAsia="zh-CN"/>
        </w:rPr>
        <w:t>沟通协调</w:t>
      </w:r>
      <w:r>
        <w:rPr>
          <w:rFonts w:ascii="楷体" w:hAnsi="楷体" w:eastAsia="楷体" w:cs="Times New Roman"/>
          <w:sz w:val="32"/>
          <w:szCs w:val="32"/>
        </w:rPr>
        <w:t>。</w:t>
      </w:r>
      <w:r>
        <w:rPr>
          <w:rFonts w:ascii="Times New Roman" w:eastAsia="仿宋_GB2312"/>
          <w:sz w:val="32"/>
          <w:szCs w:val="40"/>
        </w:rPr>
        <w:t>多次</w:t>
      </w:r>
      <w:r>
        <w:rPr>
          <w:rFonts w:hint="eastAsia" w:ascii="Times New Roman" w:eastAsia="仿宋_GB2312"/>
          <w:sz w:val="32"/>
          <w:szCs w:val="40"/>
          <w:lang w:eastAsia="zh-CN"/>
        </w:rPr>
        <w:t>向区纪委监委报告殡葬服务专项工作开展情况，多次沟通协调区</w:t>
      </w:r>
      <w:r>
        <w:rPr>
          <w:rFonts w:hint="eastAsia" w:ascii="Times New Roman" w:eastAsia="仿宋_GB2312"/>
          <w:sz w:val="32"/>
          <w:szCs w:val="40"/>
        </w:rPr>
        <w:t>民政局、</w:t>
      </w:r>
      <w:r>
        <w:rPr>
          <w:rFonts w:hint="eastAsia" w:ascii="Times New Roman" w:eastAsia="仿宋_GB2312"/>
          <w:sz w:val="32"/>
          <w:szCs w:val="40"/>
          <w:lang w:eastAsia="zh-CN"/>
        </w:rPr>
        <w:t>区</w:t>
      </w:r>
      <w:r>
        <w:rPr>
          <w:rFonts w:hint="eastAsia" w:ascii="Times New Roman" w:eastAsia="仿宋_GB2312"/>
          <w:sz w:val="32"/>
          <w:szCs w:val="40"/>
        </w:rPr>
        <w:t>市场监管局、</w:t>
      </w:r>
      <w:r>
        <w:rPr>
          <w:rFonts w:hint="eastAsia" w:ascii="Times New Roman" w:eastAsia="仿宋_GB2312"/>
          <w:sz w:val="32"/>
          <w:szCs w:val="40"/>
          <w:lang w:eastAsia="zh-CN"/>
        </w:rPr>
        <w:t>区</w:t>
      </w:r>
      <w:r>
        <w:rPr>
          <w:rFonts w:hint="eastAsia" w:ascii="Times New Roman" w:eastAsia="仿宋_GB2312"/>
          <w:sz w:val="32"/>
          <w:szCs w:val="40"/>
        </w:rPr>
        <w:t>殡葬</w:t>
      </w:r>
      <w:r>
        <w:rPr>
          <w:rFonts w:hint="eastAsia" w:ascii="Times New Roman" w:eastAsia="仿宋_GB2312"/>
          <w:sz w:val="32"/>
          <w:szCs w:val="40"/>
          <w:lang w:eastAsia="zh-CN"/>
        </w:rPr>
        <w:t>服务相关单位，</w:t>
      </w:r>
      <w:r>
        <w:rPr>
          <w:rFonts w:ascii="Times New Roman" w:eastAsia="仿宋_GB2312"/>
          <w:sz w:val="32"/>
          <w:szCs w:val="40"/>
        </w:rPr>
        <w:t>研究全</w:t>
      </w:r>
      <w:r>
        <w:rPr>
          <w:rFonts w:hint="eastAsia" w:ascii="Times New Roman" w:eastAsia="仿宋_GB2312"/>
          <w:sz w:val="32"/>
          <w:szCs w:val="40"/>
          <w:lang w:eastAsia="zh-CN"/>
        </w:rPr>
        <w:t>区</w:t>
      </w:r>
      <w:r>
        <w:rPr>
          <w:rFonts w:ascii="Times New Roman" w:eastAsia="仿宋_GB2312"/>
          <w:sz w:val="32"/>
          <w:szCs w:val="32"/>
        </w:rPr>
        <w:t>殡葬基本服务项目、延伸服务项目和殡葬用品</w:t>
      </w:r>
      <w:r>
        <w:rPr>
          <w:rFonts w:hint="eastAsia" w:ascii="Times New Roman" w:eastAsia="仿宋_GB2312"/>
          <w:sz w:val="32"/>
          <w:szCs w:val="32"/>
        </w:rPr>
        <w:t>三项</w:t>
      </w:r>
      <w:r>
        <w:rPr>
          <w:rFonts w:ascii="Times New Roman" w:eastAsia="仿宋_GB2312"/>
          <w:sz w:val="32"/>
          <w:szCs w:val="32"/>
        </w:rPr>
        <w:t>清单</w:t>
      </w:r>
      <w:r>
        <w:rPr>
          <w:rFonts w:ascii="Times New Roman" w:eastAsia="仿宋_GB2312"/>
          <w:sz w:val="32"/>
          <w:szCs w:val="40"/>
        </w:rPr>
        <w:t>制定，</w:t>
      </w:r>
      <w:r>
        <w:rPr>
          <w:rFonts w:ascii="Times New Roman" w:eastAsia="仿宋_GB2312"/>
          <w:color w:val="000000"/>
          <w:sz w:val="32"/>
          <w:szCs w:val="32"/>
          <w:shd w:val="clear" w:color="auto" w:fill="FFFFFF"/>
        </w:rPr>
        <w:t>修订完善我</w:t>
      </w:r>
      <w:r>
        <w:rPr>
          <w:rFonts w:hint="eastAsia" w:ascii="Times New Roman" w:eastAsia="仿宋_GB2312"/>
          <w:color w:val="000000"/>
          <w:sz w:val="32"/>
          <w:szCs w:val="32"/>
          <w:shd w:val="clear" w:color="auto" w:fill="FFFFFF"/>
          <w:lang w:eastAsia="zh-CN"/>
        </w:rPr>
        <w:t>区</w:t>
      </w:r>
      <w:r>
        <w:rPr>
          <w:rFonts w:ascii="Times New Roman" w:eastAsia="仿宋_GB2312"/>
          <w:color w:val="000000"/>
          <w:sz w:val="32"/>
          <w:szCs w:val="32"/>
          <w:shd w:val="clear" w:color="auto" w:fill="FFFFFF"/>
        </w:rPr>
        <w:t>殡葬服务收费管理相关政策的拟制</w:t>
      </w:r>
      <w:r>
        <w:rPr>
          <w:rFonts w:hint="eastAsia" w:ascii="Times New Roman" w:eastAsia="仿宋_GB2312" w:cs="Times New Roman"/>
          <w:color w:val="000000"/>
          <w:sz w:val="32"/>
          <w:szCs w:val="32"/>
        </w:rPr>
        <w:t>，充分听取各方意见。</w:t>
      </w:r>
    </w:p>
    <w:p w14:paraId="2C83F8A2">
      <w:pPr>
        <w:pStyle w:val="2"/>
        <w:spacing w:line="550" w:lineRule="exact"/>
        <w:ind w:firstLine="640" w:firstLineChars="200"/>
        <w:rPr>
          <w:rFonts w:hint="eastAsia" w:ascii="Times New Roman" w:eastAsia="仿宋_GB2312" w:cs="Times New Roman"/>
          <w:color w:val="000000" w:themeColor="text1"/>
          <w:sz w:val="32"/>
          <w:szCs w:val="32"/>
          <w:lang w:val="en-US" w:eastAsia="zh-CN"/>
        </w:rPr>
      </w:pPr>
      <w:r>
        <w:rPr>
          <w:rFonts w:hint="eastAsia" w:ascii="楷体" w:hAnsi="楷体" w:eastAsia="楷体" w:cs="Times New Roman"/>
          <w:color w:val="000000" w:themeColor="text1"/>
          <w:sz w:val="32"/>
          <w:szCs w:val="32"/>
        </w:rPr>
        <w:t>3</w:t>
      </w:r>
      <w:r>
        <w:rPr>
          <w:rFonts w:ascii="楷体" w:hAnsi="楷体" w:eastAsia="楷体" w:cs="Times New Roman"/>
          <w:color w:val="000000" w:themeColor="text1"/>
          <w:sz w:val="32"/>
          <w:szCs w:val="32"/>
        </w:rPr>
        <w:t>、开展成本调查。</w:t>
      </w:r>
      <w:r>
        <w:rPr>
          <w:rFonts w:ascii="Times New Roman" w:eastAsia="仿宋_GB2312" w:cs="Times New Roman"/>
        </w:rPr>
        <w:t>会同</w:t>
      </w:r>
      <w:r>
        <w:rPr>
          <w:rFonts w:hint="eastAsia" w:ascii="Times New Roman" w:eastAsia="仿宋_GB2312" w:cs="Times New Roman"/>
          <w:lang w:eastAsia="zh-CN"/>
        </w:rPr>
        <w:t>区</w:t>
      </w:r>
      <w:r>
        <w:rPr>
          <w:rFonts w:ascii="Times New Roman" w:eastAsia="仿宋_GB2312" w:cs="Times New Roman"/>
        </w:rPr>
        <w:t>民政局</w:t>
      </w:r>
      <w:r>
        <w:rPr>
          <w:rFonts w:hint="eastAsia" w:ascii="Times New Roman" w:eastAsia="仿宋_GB2312" w:cs="Times New Roman"/>
        </w:rPr>
        <w:t>聘请第三方对</w:t>
      </w:r>
      <w:r>
        <w:rPr>
          <w:rFonts w:ascii="Times New Roman" w:eastAsia="仿宋_GB2312" w:cs="Times New Roman"/>
        </w:rPr>
        <w:t>殡仪馆、</w:t>
      </w:r>
      <w:r>
        <w:rPr>
          <w:rFonts w:hint="eastAsia" w:ascii="Times New Roman" w:eastAsia="仿宋_GB2312" w:cs="Times New Roman"/>
          <w:lang w:eastAsia="zh-CN"/>
        </w:rPr>
        <w:t>区紫藤园</w:t>
      </w:r>
      <w:r>
        <w:rPr>
          <w:rFonts w:ascii="Times New Roman" w:eastAsia="仿宋_GB2312" w:cs="Times New Roman"/>
        </w:rPr>
        <w:t>公墓</w:t>
      </w:r>
      <w:r>
        <w:rPr>
          <w:rFonts w:hint="eastAsia" w:ascii="Times New Roman" w:eastAsia="仿宋_GB2312" w:cs="Times New Roman"/>
        </w:rPr>
        <w:t>、</w:t>
      </w:r>
      <w:r>
        <w:rPr>
          <w:rFonts w:hint="eastAsia" w:ascii="Times New Roman" w:eastAsia="仿宋_GB2312" w:cs="Times New Roman"/>
          <w:lang w:eastAsia="zh-CN"/>
        </w:rPr>
        <w:t>相关</w:t>
      </w:r>
      <w:r>
        <w:rPr>
          <w:rFonts w:ascii="Times New Roman" w:eastAsia="仿宋_GB2312" w:cs="Times New Roman"/>
          <w:color w:val="000000" w:themeColor="text1"/>
          <w:sz w:val="32"/>
          <w:szCs w:val="32"/>
        </w:rPr>
        <w:t>的公益性公墓和经营性公墓单位开展</w:t>
      </w:r>
      <w:r>
        <w:rPr>
          <w:rFonts w:hint="eastAsia" w:ascii="Times New Roman" w:eastAsia="仿宋_GB2312" w:cs="Times New Roman"/>
          <w:color w:val="000000" w:themeColor="text1"/>
          <w:sz w:val="32"/>
          <w:szCs w:val="32"/>
        </w:rPr>
        <w:t>了</w:t>
      </w:r>
      <w:r>
        <w:rPr>
          <w:rFonts w:ascii="Times New Roman" w:eastAsia="仿宋_GB2312" w:cs="Times New Roman"/>
          <w:color w:val="000000" w:themeColor="text1"/>
          <w:sz w:val="32"/>
          <w:szCs w:val="32"/>
        </w:rPr>
        <w:t>成本调查</w:t>
      </w:r>
      <w:r>
        <w:rPr>
          <w:rFonts w:hint="eastAsia" w:ascii="Times New Roman" w:eastAsia="仿宋_GB2312" w:cs="Times New Roman"/>
          <w:color w:val="000000" w:themeColor="text1"/>
          <w:sz w:val="32"/>
          <w:szCs w:val="32"/>
        </w:rPr>
        <w:t>和业务指导，为制定收费标准提供了依据</w:t>
      </w:r>
      <w:r>
        <w:rPr>
          <w:rFonts w:hint="eastAsia" w:ascii="Times New Roman" w:eastAsia="仿宋_GB2312" w:cs="Times New Roman"/>
          <w:color w:val="000000" w:themeColor="text1"/>
          <w:sz w:val="32"/>
          <w:szCs w:val="32"/>
          <w:lang w:eastAsia="zh-CN"/>
        </w:rPr>
        <w:t>。</w:t>
      </w:r>
      <w:bookmarkStart w:id="0" w:name="_GoBack"/>
      <w:bookmarkEnd w:id="0"/>
    </w:p>
    <w:p w14:paraId="3CBA7845">
      <w:pPr>
        <w:spacing w:line="550" w:lineRule="exact"/>
        <w:ind w:firstLine="640" w:firstLineChars="200"/>
        <w:rPr>
          <w:rFonts w:ascii="Times New Roman" w:eastAsia="仿宋_GB2312" w:cs="Times New Roman"/>
          <w:color w:val="000000"/>
          <w:sz w:val="32"/>
          <w:szCs w:val="32"/>
        </w:rPr>
      </w:pPr>
      <w:r>
        <w:rPr>
          <w:rFonts w:ascii="楷体" w:hAnsi="楷体" w:eastAsia="楷体" w:cs="Times New Roman"/>
          <w:color w:val="000000" w:themeColor="text1"/>
          <w:sz w:val="32"/>
          <w:szCs w:val="32"/>
          <w:lang w:val="zh-CN"/>
        </w:rPr>
        <w:t>4、广泛征求意见。</w:t>
      </w:r>
      <w:r>
        <w:rPr>
          <w:rFonts w:ascii="Times New Roman" w:eastAsia="仿宋_GB2312" w:cs="Times New Roman"/>
          <w:color w:val="000000"/>
          <w:sz w:val="32"/>
          <w:szCs w:val="32"/>
        </w:rPr>
        <w:t>书面征求意见建议</w:t>
      </w:r>
      <w:r>
        <w:rPr>
          <w:rFonts w:hint="eastAsia" w:ascii="Times New Roman" w:eastAsia="仿宋_GB2312" w:cs="Times New Roman"/>
          <w:color w:val="000000"/>
          <w:sz w:val="32"/>
          <w:szCs w:val="32"/>
          <w:lang w:eastAsia="zh-CN"/>
        </w:rPr>
        <w:t>后，将通过政府网站向公众征求意见建议</w:t>
      </w:r>
      <w:r>
        <w:rPr>
          <w:rFonts w:hint="eastAsia" w:ascii="Times New Roman" w:eastAsia="仿宋_GB2312" w:cs="Times New Roman"/>
          <w:color w:val="000000"/>
          <w:sz w:val="32"/>
          <w:szCs w:val="32"/>
        </w:rPr>
        <w:t>，</w:t>
      </w:r>
      <w:r>
        <w:rPr>
          <w:rFonts w:hint="eastAsia" w:ascii="Times New Roman" w:eastAsia="仿宋_GB2312" w:cs="Times New Roman"/>
          <w:color w:val="000000"/>
          <w:sz w:val="32"/>
          <w:szCs w:val="32"/>
          <w:lang w:eastAsia="zh-CN"/>
        </w:rPr>
        <w:t>并在</w:t>
      </w:r>
      <w:r>
        <w:rPr>
          <w:rFonts w:ascii="Times New Roman" w:eastAsia="仿宋_GB2312" w:cs="Times New Roman"/>
          <w:color w:val="000000"/>
          <w:sz w:val="32"/>
          <w:szCs w:val="32"/>
        </w:rPr>
        <w:t>委内部开展了公平竞争审查和合法性审查。</w:t>
      </w:r>
    </w:p>
    <w:p w14:paraId="7627743C">
      <w:pPr>
        <w:widowControl/>
        <w:spacing w:line="550" w:lineRule="exact"/>
        <w:ind w:firstLine="640" w:firstLineChars="200"/>
        <w:jc w:val="left"/>
        <w:rPr>
          <w:rFonts w:ascii="黑体" w:hAnsi="黑体" w:eastAsia="黑体" w:cs="Times New Roman"/>
          <w:sz w:val="32"/>
          <w:szCs w:val="32"/>
        </w:rPr>
      </w:pPr>
      <w:r>
        <w:rPr>
          <w:rFonts w:ascii="黑体" w:hAnsi="黑体" w:eastAsia="黑体" w:cs="Times New Roman"/>
          <w:sz w:val="32"/>
          <w:szCs w:val="32"/>
        </w:rPr>
        <w:t>三、主要内容</w:t>
      </w:r>
    </w:p>
    <w:p w14:paraId="6112AA97">
      <w:pPr>
        <w:widowControl/>
        <w:spacing w:line="55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一</w:t>
      </w:r>
      <w:r>
        <w:rPr>
          <w:rFonts w:hint="eastAsia" w:ascii="仿宋" w:hAnsi="仿宋" w:eastAsia="仿宋" w:cs="仿宋"/>
          <w:sz w:val="32"/>
          <w:szCs w:val="32"/>
          <w:lang w:eastAsia="zh-CN"/>
        </w:rPr>
        <w:t>）</w:t>
      </w:r>
      <w:r>
        <w:rPr>
          <w:rFonts w:hint="eastAsia" w:ascii="仿宋" w:hAnsi="仿宋" w:eastAsia="仿宋" w:cs="仿宋"/>
          <w:sz w:val="32"/>
          <w:szCs w:val="32"/>
        </w:rPr>
        <w:t>建立区殡葬服务收费项目清单</w:t>
      </w:r>
    </w:p>
    <w:p w14:paraId="41AF836A">
      <w:pPr>
        <w:widowControl/>
        <w:spacing w:line="55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全区殡葬服务收费分为殡葬基本服务项目清单和延伸服务项目清单。殡葬基本服务项目清单和延伸服务项目清单由区民政部门会同区发展改革部门制定，殡葬服务单位不得另行增设服务项目，实行动态更新，及时向社会公开发布。</w:t>
      </w:r>
    </w:p>
    <w:p w14:paraId="5AFD165A">
      <w:pPr>
        <w:widowControl/>
        <w:spacing w:line="55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殡葬基本服务项目。殡葬基本服务是指殡葬服务单位为群众提供的基本服务需求，项目包括：遗体接运、遗体存放、穿（脱）衣、遗容整理、告别厅（守灵厅）租用、遗体火化、骨灰寄存、公益性公墓墓（格）葬、节地生态安葬、公墓维护管理共10项。殡葬基本服务收费实行政府指导价管理，收费标准由区发展改革部门会同区民政部门在成本监审（或调查）基础上，按照非营利原则，根据财政补贴情况制定公布。后期新改扩建导致成本变化确需调整的，严格依法依规制定。殡仪馆内转接服务属于其标准化作业内容，不得另行收取费用。</w:t>
      </w:r>
    </w:p>
    <w:p w14:paraId="2CACF887">
      <w:pPr>
        <w:widowControl/>
        <w:spacing w:line="55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殡葬延伸服务项目。殡葬延伸服务是指殡葬服务机构在基本服务以外，供群众自愿选择的服务需求，项目包括：遗体外运、特殊遗体整理、经营性公墓墓（格）葬共3项。殡葬延伸服务收费实行市场调节价管理，由殡葬服务单位根据成本、社会承受能力、市场需求状况合理确定具体收费标准，报经区民政部门审核公示后，并抄报区发展改革部门。</w:t>
      </w:r>
    </w:p>
    <w:p w14:paraId="66887D9A">
      <w:pPr>
        <w:widowControl/>
        <w:spacing w:line="55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统一清单公布内容。服务项目严格实行清单管理，主要包括服务项目名称、服务内容、计费单位、价格管理形式、收费标准、收费依据、优惠减免政策、惠民殡葬措施等。</w:t>
      </w:r>
    </w:p>
    <w:p w14:paraId="7C8430F1">
      <w:pPr>
        <w:widowControl/>
        <w:spacing w:line="55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个性化安葬需求、殡仪服务、代客祭扫、网络祭扫等特殊情况，按照双方合同约定执行。</w:t>
      </w:r>
    </w:p>
    <w:p w14:paraId="254A17C4">
      <w:pPr>
        <w:widowControl/>
        <w:spacing w:line="55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二</w:t>
      </w:r>
      <w:r>
        <w:rPr>
          <w:rFonts w:hint="eastAsia" w:ascii="仿宋" w:hAnsi="仿宋" w:eastAsia="仿宋" w:cs="仿宋"/>
          <w:sz w:val="32"/>
          <w:szCs w:val="32"/>
          <w:lang w:eastAsia="zh-CN"/>
        </w:rPr>
        <w:t>）</w:t>
      </w:r>
      <w:r>
        <w:rPr>
          <w:rFonts w:hint="eastAsia" w:ascii="仿宋" w:hAnsi="仿宋" w:eastAsia="仿宋" w:cs="仿宋"/>
          <w:sz w:val="32"/>
          <w:szCs w:val="32"/>
        </w:rPr>
        <w:t>实行公墓收费分类定价管理</w:t>
      </w:r>
    </w:p>
    <w:p w14:paraId="34CDF96E">
      <w:pPr>
        <w:widowControl/>
        <w:spacing w:line="55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公墓收费实行分类定价管理，包括公益性公墓墓（格）葬费、经营性公墓墓（格）葬费、公墓维护管理费。公墓墓（格）葬费是指墓穴等墓葬设施（含立体式骨灰安葬）墓地（格）费用、落葬服务费用（含再次合葬的落葬费用）、墓碑墓体费用以及相关材料等费用，实行“一价清”，不得价外收取与公墓墓（格）葬相关的其他费用。提倡和鼓励节地生态安葬、骨灰立体安葬、骨灰撒散（江葬、海葬）、不保留骨灰、林草地复合葬法。禁止将公益性公墓变更为经营性公墓。</w:t>
      </w:r>
    </w:p>
    <w:p w14:paraId="62388B90">
      <w:pPr>
        <w:widowControl/>
        <w:spacing w:line="55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规范公益性公墓墓（格）葬费管理。公益性公墓墓（格）葬费实行政府指导价管理，收费标准由区发展改革部门会同同级民政部门，按照非营利原则，综合考虑建设成本、地方经济发展水平、社会承受能力等因素，区分城乡、墓型差异等依法依规制定，并逐步建立公益性公墓墓（格）葬收费定价机制。相关公墓经营单位结合建设成本差异等情况和非营利原则，确定不同墓（格）型具体收费标准，经区民政部门审核后，报区发展改革部门备案。</w:t>
      </w:r>
    </w:p>
    <w:p w14:paraId="7A7FBB7A">
      <w:pPr>
        <w:widowControl/>
        <w:spacing w:line="55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规范经营性公墓墓（格）葬费管理。经营性公墓墓（格）葬费实行市场调节价管理，由公墓经营单位根据经营成本、社会承受能力、市场需求等合理确定。区民政部门会同发展改革部门建立收费标准备案会商机制，经部门会商审核确认，由区民政部门公示后，报区发展改革部门备案。</w:t>
      </w:r>
    </w:p>
    <w:p w14:paraId="6BAF944B">
      <w:pPr>
        <w:widowControl/>
        <w:spacing w:line="55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规范公墓维护管理费管理。公墓维护管理费（含经营性公墓）指公墓经营单位收取的日常管理及维护等费用。公墓维护管理费实行政府指导价管理，收费标准由区发展改革部门会同区民政部门制定公布。公墓维护管理费经区民政部门审核后，报区发展改革部门备案。</w:t>
      </w:r>
    </w:p>
    <w:p w14:paraId="52537832">
      <w:pPr>
        <w:widowControl/>
        <w:spacing w:line="55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公墓维护管理费原则上按年计收，双方可以合同约定方式确定计收方式，如一次性收取，最长收费年限不得超过20年。经营性公墓单位应当提取墓葬费的5%建立维护基金，实行专账管理，在区民政部门的监督下专门用于墓位的维护和管理。</w:t>
      </w:r>
    </w:p>
    <w:p w14:paraId="3D95C099">
      <w:pPr>
        <w:widowControl/>
        <w:spacing w:line="55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三</w:t>
      </w:r>
      <w:r>
        <w:rPr>
          <w:rFonts w:hint="eastAsia" w:ascii="仿宋" w:hAnsi="仿宋" w:eastAsia="仿宋" w:cs="仿宋"/>
          <w:sz w:val="32"/>
          <w:szCs w:val="32"/>
          <w:lang w:eastAsia="zh-CN"/>
        </w:rPr>
        <w:t>）</w:t>
      </w:r>
      <w:r>
        <w:rPr>
          <w:rFonts w:hint="eastAsia" w:ascii="仿宋" w:hAnsi="仿宋" w:eastAsia="仿宋" w:cs="仿宋"/>
          <w:sz w:val="32"/>
          <w:szCs w:val="32"/>
        </w:rPr>
        <w:t>规范殡葬用品价格管理</w:t>
      </w:r>
    </w:p>
    <w:p w14:paraId="1FCA4805">
      <w:pPr>
        <w:widowControl/>
        <w:spacing w:line="55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统一殡葬用品清单。区民政部门统一制定全区殡葬用品清单，原则上殡葬基本服务项目清单中的殡葬用品不得列入殡葬用品清单范围。区民政部门、市场监管部门指导殡葬服务单位，在区公布的殡葬用品清单范围内，建立服务单位殡葬用品销售清单，载明用品名称、计费单位、销售价格等内容，统一殡葬用品销售清单公示样式，并抄报区民政部门、市场监管部门，主动接受监督。</w:t>
      </w:r>
    </w:p>
    <w:p w14:paraId="31457039">
      <w:pPr>
        <w:widowControl/>
        <w:spacing w:line="55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合理确定殡葬用品价格。区殡葬服务单位要始终坚持公益属性，参考商品招标购进价格、市场平均价格水平、社会可承受能力等，合理确定殡葬用品价格，并保持相对稳定。在销售殡葬用品时，要遵循自愿原则、明码标价、诚实经营，不得限制或变相限制使用自带商品，主动接受相关部门和群众的监督。</w:t>
      </w:r>
    </w:p>
    <w:p w14:paraId="52A5B657">
      <w:pPr>
        <w:widowControl/>
        <w:spacing w:line="55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定期开展巡查检查。区民政部门、市场监管部门要加强对殡葬服务单位销售殡葬用品的价格管理，定期开展巡查、检查，坚决遏制高价销售行为。</w:t>
      </w:r>
    </w:p>
    <w:p w14:paraId="5CC41D8E">
      <w:pPr>
        <w:widowControl/>
        <w:spacing w:line="55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四</w:t>
      </w:r>
      <w:r>
        <w:rPr>
          <w:rFonts w:hint="eastAsia" w:ascii="仿宋" w:hAnsi="仿宋" w:eastAsia="仿宋" w:cs="仿宋"/>
          <w:sz w:val="32"/>
          <w:szCs w:val="32"/>
          <w:lang w:eastAsia="zh-CN"/>
        </w:rPr>
        <w:t>）</w:t>
      </w:r>
      <w:r>
        <w:rPr>
          <w:rFonts w:hint="eastAsia" w:ascii="仿宋" w:hAnsi="仿宋" w:eastAsia="仿宋" w:cs="仿宋"/>
          <w:sz w:val="32"/>
          <w:szCs w:val="32"/>
        </w:rPr>
        <w:t>加强殡葬服务收费行为监管</w:t>
      </w:r>
    </w:p>
    <w:p w14:paraId="70FB89AF">
      <w:pPr>
        <w:widowControl/>
        <w:spacing w:line="55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落实优惠减免政策。殡葬服务是面向全社会的特殊公共服务，坚持基本殡葬服务的公益属性，严格落实各项惠民殡葬政策，具体按市、区制定的惠民殡葬相关政策执行，执行期间如遇惠民殡葬政策调整的，从其规定。</w:t>
      </w:r>
    </w:p>
    <w:p w14:paraId="20824A00">
      <w:pPr>
        <w:widowControl/>
        <w:spacing w:line="55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严格收费公示制度。区殡葬服务单位应规范收费票据管理，严格执行收费公示和明码标价制度，要在经营场所显著位置公开基本服务项目清单、延伸服务项目清单、殡葬用品销售清单，主动公示服务内容、收费标准、计费单位、优惠减免政策、投诉举报电话等信息，清单之外一律不得收费。</w:t>
      </w:r>
    </w:p>
    <w:p w14:paraId="00A997F2">
      <w:pPr>
        <w:widowControl/>
        <w:spacing w:line="55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强化日常监督检查。区市场监管部门要加强殡葬服务收费行为监督检查，畅通投诉举报渠道，依法查处殡葬服务单位价格违法违规行为，切实维护群众合法价格权益。</w:t>
      </w:r>
    </w:p>
    <w:sectPr>
      <w:pgSz w:w="11906" w:h="16838"/>
      <w:pgMar w:top="1871" w:right="1474" w:bottom="147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066E82"/>
    <w:multiLevelType w:val="multilevel"/>
    <w:tmpl w:val="4F066E82"/>
    <w:lvl w:ilvl="0" w:tentative="0">
      <w:start w:val="1"/>
      <w:numFmt w:val="japaneseCounting"/>
      <w:lvlText w:val="%1、"/>
      <w:lvlJc w:val="left"/>
      <w:pPr>
        <w:ind w:left="1360" w:hanging="720"/>
      </w:pPr>
      <w:rPr>
        <w:rFonts w:hint="default"/>
        <w:color w:val="000000" w:themeColor="text1"/>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37D7A"/>
    <w:rsid w:val="00003F5B"/>
    <w:rsid w:val="000612D1"/>
    <w:rsid w:val="0008049A"/>
    <w:rsid w:val="00093C7D"/>
    <w:rsid w:val="00095CFA"/>
    <w:rsid w:val="000B3E55"/>
    <w:rsid w:val="000D6DF8"/>
    <w:rsid w:val="000F7E5C"/>
    <w:rsid w:val="00104FFF"/>
    <w:rsid w:val="0010606F"/>
    <w:rsid w:val="00106336"/>
    <w:rsid w:val="001347E7"/>
    <w:rsid w:val="00137BA4"/>
    <w:rsid w:val="00137D7A"/>
    <w:rsid w:val="001425F6"/>
    <w:rsid w:val="00157F7F"/>
    <w:rsid w:val="00192483"/>
    <w:rsid w:val="0019377A"/>
    <w:rsid w:val="001B5C0C"/>
    <w:rsid w:val="001C2A7D"/>
    <w:rsid w:val="001D111E"/>
    <w:rsid w:val="001E435E"/>
    <w:rsid w:val="00211F72"/>
    <w:rsid w:val="002153A2"/>
    <w:rsid w:val="00215CAE"/>
    <w:rsid w:val="0021799E"/>
    <w:rsid w:val="0023636D"/>
    <w:rsid w:val="002565D5"/>
    <w:rsid w:val="00256A6A"/>
    <w:rsid w:val="00282A9B"/>
    <w:rsid w:val="002A3FD2"/>
    <w:rsid w:val="002B715B"/>
    <w:rsid w:val="002C1BF1"/>
    <w:rsid w:val="002C298E"/>
    <w:rsid w:val="002C720F"/>
    <w:rsid w:val="002D0BF4"/>
    <w:rsid w:val="002D1701"/>
    <w:rsid w:val="002D47B5"/>
    <w:rsid w:val="002E780A"/>
    <w:rsid w:val="002E7FA6"/>
    <w:rsid w:val="002F1D66"/>
    <w:rsid w:val="00307AA1"/>
    <w:rsid w:val="0031284D"/>
    <w:rsid w:val="00322B4B"/>
    <w:rsid w:val="003230D2"/>
    <w:rsid w:val="00327C1A"/>
    <w:rsid w:val="00363BC0"/>
    <w:rsid w:val="0038713E"/>
    <w:rsid w:val="00394071"/>
    <w:rsid w:val="003B45B0"/>
    <w:rsid w:val="003B677B"/>
    <w:rsid w:val="003C1CB3"/>
    <w:rsid w:val="003E506A"/>
    <w:rsid w:val="00407B29"/>
    <w:rsid w:val="00433A73"/>
    <w:rsid w:val="00435293"/>
    <w:rsid w:val="00450A0F"/>
    <w:rsid w:val="00471E34"/>
    <w:rsid w:val="004730BA"/>
    <w:rsid w:val="004735DF"/>
    <w:rsid w:val="004753DB"/>
    <w:rsid w:val="00475875"/>
    <w:rsid w:val="004A7BD2"/>
    <w:rsid w:val="004C145A"/>
    <w:rsid w:val="004E1F81"/>
    <w:rsid w:val="004F7389"/>
    <w:rsid w:val="005076BE"/>
    <w:rsid w:val="00512BD2"/>
    <w:rsid w:val="0052408A"/>
    <w:rsid w:val="00556117"/>
    <w:rsid w:val="00556E68"/>
    <w:rsid w:val="005A2C94"/>
    <w:rsid w:val="005A2FDB"/>
    <w:rsid w:val="005A71CB"/>
    <w:rsid w:val="005B486C"/>
    <w:rsid w:val="005C19C6"/>
    <w:rsid w:val="005C6FB4"/>
    <w:rsid w:val="005D3A72"/>
    <w:rsid w:val="005D7EAF"/>
    <w:rsid w:val="00610646"/>
    <w:rsid w:val="0061372C"/>
    <w:rsid w:val="00620730"/>
    <w:rsid w:val="00621E61"/>
    <w:rsid w:val="0064005E"/>
    <w:rsid w:val="0065450D"/>
    <w:rsid w:val="0068216A"/>
    <w:rsid w:val="00685F73"/>
    <w:rsid w:val="006956E2"/>
    <w:rsid w:val="006B3C27"/>
    <w:rsid w:val="006B6E7A"/>
    <w:rsid w:val="006C3585"/>
    <w:rsid w:val="006D0E89"/>
    <w:rsid w:val="006F51AB"/>
    <w:rsid w:val="00701298"/>
    <w:rsid w:val="00745125"/>
    <w:rsid w:val="00753ABF"/>
    <w:rsid w:val="00761BCA"/>
    <w:rsid w:val="007723D0"/>
    <w:rsid w:val="00784127"/>
    <w:rsid w:val="007A44D9"/>
    <w:rsid w:val="007A6A64"/>
    <w:rsid w:val="007C3EF0"/>
    <w:rsid w:val="007D1AB1"/>
    <w:rsid w:val="007D4196"/>
    <w:rsid w:val="007E3A54"/>
    <w:rsid w:val="00805155"/>
    <w:rsid w:val="00850A2B"/>
    <w:rsid w:val="008A574B"/>
    <w:rsid w:val="008B52FA"/>
    <w:rsid w:val="008C1CA7"/>
    <w:rsid w:val="008C2009"/>
    <w:rsid w:val="008C40E3"/>
    <w:rsid w:val="008D0C0B"/>
    <w:rsid w:val="008D3AFC"/>
    <w:rsid w:val="008E4A86"/>
    <w:rsid w:val="00927E83"/>
    <w:rsid w:val="009324AA"/>
    <w:rsid w:val="00932A58"/>
    <w:rsid w:val="00932DBA"/>
    <w:rsid w:val="0098286B"/>
    <w:rsid w:val="009A359B"/>
    <w:rsid w:val="009E4394"/>
    <w:rsid w:val="009F7CDF"/>
    <w:rsid w:val="00A20EAE"/>
    <w:rsid w:val="00A50183"/>
    <w:rsid w:val="00A5600D"/>
    <w:rsid w:val="00A57A60"/>
    <w:rsid w:val="00A713EF"/>
    <w:rsid w:val="00A941CF"/>
    <w:rsid w:val="00AE1D76"/>
    <w:rsid w:val="00AE641A"/>
    <w:rsid w:val="00AE6E24"/>
    <w:rsid w:val="00B05687"/>
    <w:rsid w:val="00B27D6B"/>
    <w:rsid w:val="00B31E56"/>
    <w:rsid w:val="00B538BB"/>
    <w:rsid w:val="00B71364"/>
    <w:rsid w:val="00B91073"/>
    <w:rsid w:val="00B96848"/>
    <w:rsid w:val="00BB59B7"/>
    <w:rsid w:val="00C0198B"/>
    <w:rsid w:val="00C23ED5"/>
    <w:rsid w:val="00C24C99"/>
    <w:rsid w:val="00C82994"/>
    <w:rsid w:val="00CB1CA3"/>
    <w:rsid w:val="00CD22DF"/>
    <w:rsid w:val="00CE33DA"/>
    <w:rsid w:val="00CF2743"/>
    <w:rsid w:val="00CF45E9"/>
    <w:rsid w:val="00CF5BAC"/>
    <w:rsid w:val="00D01069"/>
    <w:rsid w:val="00D07F97"/>
    <w:rsid w:val="00D17695"/>
    <w:rsid w:val="00D32C46"/>
    <w:rsid w:val="00D446C7"/>
    <w:rsid w:val="00D46856"/>
    <w:rsid w:val="00D74B31"/>
    <w:rsid w:val="00D83949"/>
    <w:rsid w:val="00DA08BE"/>
    <w:rsid w:val="00DB454B"/>
    <w:rsid w:val="00DB6D85"/>
    <w:rsid w:val="00DD10D6"/>
    <w:rsid w:val="00DD7351"/>
    <w:rsid w:val="00DF6EA6"/>
    <w:rsid w:val="00E003BA"/>
    <w:rsid w:val="00E222E5"/>
    <w:rsid w:val="00E40AB1"/>
    <w:rsid w:val="00E50084"/>
    <w:rsid w:val="00E600C9"/>
    <w:rsid w:val="00E72D57"/>
    <w:rsid w:val="00E86E13"/>
    <w:rsid w:val="00E90043"/>
    <w:rsid w:val="00E94A39"/>
    <w:rsid w:val="00EC6533"/>
    <w:rsid w:val="00F30650"/>
    <w:rsid w:val="00F807D9"/>
    <w:rsid w:val="00F8224F"/>
    <w:rsid w:val="00F86564"/>
    <w:rsid w:val="00F86F0A"/>
    <w:rsid w:val="00F979ED"/>
    <w:rsid w:val="00FA3DEB"/>
    <w:rsid w:val="00FB400E"/>
    <w:rsid w:val="00FD45F1"/>
    <w:rsid w:val="00FD73D7"/>
    <w:rsid w:val="00FE108A"/>
    <w:rsid w:val="053358B4"/>
    <w:rsid w:val="070A2DF8"/>
    <w:rsid w:val="086230FE"/>
    <w:rsid w:val="0B2742CA"/>
    <w:rsid w:val="11C646FD"/>
    <w:rsid w:val="1D603D90"/>
    <w:rsid w:val="1E496115"/>
    <w:rsid w:val="21093CBF"/>
    <w:rsid w:val="220D77DF"/>
    <w:rsid w:val="232C638A"/>
    <w:rsid w:val="270E3B48"/>
    <w:rsid w:val="2F1E5881"/>
    <w:rsid w:val="36826596"/>
    <w:rsid w:val="382947EF"/>
    <w:rsid w:val="407342C7"/>
    <w:rsid w:val="43F458AA"/>
    <w:rsid w:val="49355E14"/>
    <w:rsid w:val="4BD31925"/>
    <w:rsid w:val="51F262B5"/>
    <w:rsid w:val="535350EA"/>
    <w:rsid w:val="57272B15"/>
    <w:rsid w:val="594340A3"/>
    <w:rsid w:val="682054F9"/>
    <w:rsid w:val="68B7537B"/>
    <w:rsid w:val="6C44786E"/>
    <w:rsid w:val="71AB7A47"/>
    <w:rsid w:val="71E25091"/>
    <w:rsid w:val="797F5A41"/>
    <w:rsid w:val="7FD364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Times New Roman" w:eastAsia="等线" w:cs="Arial"/>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0"/>
    <w:semiHidden/>
    <w:unhideWhenUsed/>
    <w:qFormat/>
    <w:uiPriority w:val="0"/>
    <w:pPr>
      <w:ind w:left="142"/>
    </w:pPr>
    <w:rPr>
      <w:rFonts w:ascii="仿宋" w:eastAsia="仿宋" w:cs="仿宋"/>
      <w:sz w:val="31"/>
      <w:szCs w:val="31"/>
      <w:lang w:val="zh-CN"/>
    </w:rPr>
  </w:style>
  <w:style w:type="paragraph" w:styleId="3">
    <w:name w:val="Body Text Indent"/>
    <w:basedOn w:val="1"/>
    <w:link w:val="11"/>
    <w:unhideWhenUsed/>
    <w:qFormat/>
    <w:uiPriority w:val="0"/>
    <w:pPr>
      <w:spacing w:after="120"/>
      <w:ind w:left="420" w:leftChars="200"/>
    </w:pPr>
  </w:style>
  <w:style w:type="paragraph" w:styleId="4">
    <w:name w:val="footer"/>
    <w:basedOn w:val="1"/>
    <w:link w:val="13"/>
    <w:semiHidden/>
    <w:unhideWhenUsed/>
    <w:qFormat/>
    <w:uiPriority w:val="99"/>
    <w:pPr>
      <w:tabs>
        <w:tab w:val="center" w:pos="4153"/>
        <w:tab w:val="right" w:pos="8306"/>
      </w:tabs>
      <w:snapToGrid w:val="0"/>
      <w:jc w:val="left"/>
    </w:pPr>
    <w:rPr>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link w:val="9"/>
    <w:unhideWhenUsed/>
    <w:qFormat/>
    <w:uiPriority w:val="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200" w:firstLineChars="200"/>
    </w:pPr>
    <w:rPr>
      <w:rFonts w:ascii="宋体" w:hAnsi="Times New Roman" w:eastAsia="宋体" w:cs="Times New Roman"/>
      <w:kern w:val="0"/>
      <w:sz w:val="24"/>
      <w:szCs w:val="24"/>
      <w:lang w:val="en-US" w:eastAsia="zh-CN" w:bidi="ar-SA"/>
    </w:rPr>
  </w:style>
  <w:style w:type="character" w:customStyle="1" w:styleId="9">
    <w:name w:val="HTML 预设格式 Char"/>
    <w:basedOn w:val="8"/>
    <w:link w:val="6"/>
    <w:qFormat/>
    <w:uiPriority w:val="0"/>
    <w:rPr>
      <w:rFonts w:ascii="宋体" w:hAnsi="Times New Roman" w:eastAsia="宋体" w:cs="Times New Roman"/>
      <w:kern w:val="0"/>
      <w:sz w:val="24"/>
      <w:szCs w:val="24"/>
    </w:rPr>
  </w:style>
  <w:style w:type="character" w:customStyle="1" w:styleId="10">
    <w:name w:val="正文文本 Char"/>
    <w:basedOn w:val="8"/>
    <w:link w:val="2"/>
    <w:semiHidden/>
    <w:qFormat/>
    <w:uiPriority w:val="0"/>
    <w:rPr>
      <w:rFonts w:ascii="仿宋" w:hAnsi="Times New Roman" w:eastAsia="仿宋" w:cs="仿宋"/>
      <w:sz w:val="31"/>
      <w:szCs w:val="31"/>
      <w:lang w:val="zh-CN"/>
    </w:rPr>
  </w:style>
  <w:style w:type="character" w:customStyle="1" w:styleId="11">
    <w:name w:val="正文文本缩进 Char"/>
    <w:basedOn w:val="8"/>
    <w:link w:val="3"/>
    <w:qFormat/>
    <w:uiPriority w:val="0"/>
    <w:rPr>
      <w:rFonts w:ascii="等线" w:hAnsi="Times New Roman" w:eastAsia="等线" w:cs="Arial"/>
    </w:rPr>
  </w:style>
  <w:style w:type="character" w:customStyle="1" w:styleId="12">
    <w:name w:val="页眉 Char"/>
    <w:basedOn w:val="8"/>
    <w:link w:val="5"/>
    <w:semiHidden/>
    <w:qFormat/>
    <w:uiPriority w:val="99"/>
    <w:rPr>
      <w:rFonts w:ascii="等线" w:hAnsi="Times New Roman" w:eastAsia="等线" w:cs="Arial"/>
      <w:sz w:val="18"/>
      <w:szCs w:val="18"/>
    </w:rPr>
  </w:style>
  <w:style w:type="character" w:customStyle="1" w:styleId="13">
    <w:name w:val="页脚 Char"/>
    <w:basedOn w:val="8"/>
    <w:link w:val="4"/>
    <w:semiHidden/>
    <w:qFormat/>
    <w:uiPriority w:val="99"/>
    <w:rPr>
      <w:rFonts w:ascii="等线" w:hAnsi="Times New Roman" w:eastAsia="等线" w:cs="Arial"/>
      <w:sz w:val="18"/>
      <w:szCs w:val="18"/>
    </w:rPr>
  </w:style>
  <w:style w:type="paragraph" w:styleId="14">
    <w:name w:val="List Paragraph"/>
    <w:basedOn w:val="1"/>
    <w:qFormat/>
    <w:uiPriority w:val="34"/>
    <w:pPr>
      <w:ind w:firstLine="420" w:firstLineChars="200"/>
    </w:pPr>
  </w:style>
  <w:style w:type="paragraph" w:customStyle="1" w:styleId="15">
    <w:name w:val="普通(网站)3"/>
    <w:basedOn w:val="1"/>
    <w:next w:val="4"/>
    <w:qFormat/>
    <w:uiPriority w:val="0"/>
    <w:pPr>
      <w:jc w:val="left"/>
    </w:pPr>
    <w:rPr>
      <w:rFonts w:ascii="Calibri" w:hAnsi="Calibri" w:eastAsia="宋体" w:cs="Calibri"/>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6</Pages>
  <Words>2513</Words>
  <Characters>2546</Characters>
  <Lines>13</Lines>
  <Paragraphs>3</Paragraphs>
  <TotalTime>969</TotalTime>
  <ScaleCrop>false</ScaleCrop>
  <LinksUpToDate>false</LinksUpToDate>
  <CharactersWithSpaces>2546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2024-08-06T06:35:00Z</dcterms:created>
  <dc:creator>微软用户</dc:creator>
  <cp:lastModifiedBy>LUCK</cp:lastModifiedBy>
  <dcterms:modified xsi:type="dcterms:W3CDTF">2025-12-03T08:18:21Z</dcterms:modified>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eyJoZGlkIjoiYmEzM2I3MzBjNWZkODA5ZGFkOTZlZDI2ODA0MzAwNWUiLCJ1c2VySWQiOiI0MzYzNDkwNDcifQ==</vt:lpwstr>
  </property>
  <property fmtid="{D5CDD505-2E9C-101B-9397-08002B2CF9AE}" pid="3" name="KSOProductBuildVer">
    <vt:lpwstr>2052-12.1.0.23542</vt:lpwstr>
  </property>
  <property fmtid="{D5CDD505-2E9C-101B-9397-08002B2CF9AE}" pid="4" name="ICV">
    <vt:lpwstr>6F0607D43F92497684835E18214C79A5_12</vt:lpwstr>
  </property>
</Properties>
</file>