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  <w:t>2025年一季度全区经济运行情况分析</w:t>
      </w:r>
    </w:p>
    <w:p w14:paraId="7AB5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eastAsia="zh-CN"/>
        </w:rPr>
      </w:pPr>
    </w:p>
    <w:p w14:paraId="6934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2025年上半年，全区实现地区生产总值435.14亿元，同比增长7.1%。其中：第一产业增加值24.57亿元，增幅4.5%；第二产业增加值180.50亿元，增幅6.8%；第三产业增加值230.07亿元，增幅7.7%。</w:t>
      </w:r>
    </w:p>
    <w:p w14:paraId="6FEB8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（一）农业生产总体稳定。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上半年，我区累计实现农林牧渔业总产值44.37亿元，实现</w:t>
      </w:r>
      <w:r>
        <w:rPr>
          <w:rStyle w:val="13"/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农林牧渔业增加值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25.29</w:t>
      </w:r>
      <w:r>
        <w:rPr>
          <w:rStyle w:val="13"/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亿元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、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可比增长4.6</w:t>
      </w:r>
      <w:r>
        <w:rPr>
          <w:rStyle w:val="13"/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%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。2025年夏粮总播种面积97.27万亩，较上年增加0.1万亩，增长0.1%；夏粮总产量38.14万吨，较上年减少0.37万吨，下降1.0%。上半年蔬菜及食用菌播种面积为7.99万亩，与去年同期相比增加0.1万亩，同比增长1.3%；总产量25.54万吨，与去年同期相比增加0.85万吨，同比增长3.4%。生猪累计出栏23.92万头，比上年减少1.46万头，下降5.8%。</w:t>
      </w:r>
    </w:p>
    <w:p w14:paraId="05E98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（二）生产领域平稳增长。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上半年，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规模以上工业增加值同比增长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12.5%，高于全市平均水平3.6个百分点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实现营业收入198.72亿元，同比增长10.7%，较一季度上升0.5百分点；企业亏损面有所收窄，全区上半年共有85户企业亏损，亏损面达23.2%，较一季度收窄1个百分点。32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个行业大类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中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个行业产值实现正增长，增长面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达65.6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个行业快于全区平均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增幅。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实现工业开票销售收入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227.95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.8%；实现工业用电量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9.50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亿千瓦时，同比增长5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.4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。</w:t>
      </w:r>
    </w:p>
    <w:p w14:paraId="6E18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投资</w:t>
      </w:r>
      <w:bookmarkStart w:id="0" w:name="_GoBack"/>
      <w:bookmarkEnd w:id="0"/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保持韧性增长。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上半年，全区完成规上固定资产投资147.33亿元，同比增长9.5%，增速与一季度持平；完成工业投资124.88亿元，增长16.0%，增速较一季度上升2.5个百分点；工业技改投资同比下降34.0%，较一季度降幅扩大了2.9个百分点，占工业投资比重为25.8%，较一季度下降了3.4个百分点；房地产开发投资4.21亿元，同比下降62.4%，商品房销售面积33.46万平方米，同比下降12.5%；民间投资124.03亿元，增长16.3%，占规上固定资产投资比重90.9%。</w:t>
      </w:r>
    </w:p>
    <w:p w14:paraId="2CDF4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Style w:val="13"/>
          <w:rFonts w:hint="eastAsia" w:ascii="方正仿宋_GBK" w:hAnsi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（四）消费潜力稳步释放。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上半年，全区实现社会消费品零售总额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164.1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亿元，同比增长7.0%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分行业看，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批零住餐四个行业分别实现贸易额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254.52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141.06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3.96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37.20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亿元，分别同比增长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12.3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9.3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17.6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11.1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。“以旧换新”促消费政策效应持续显现，上半年，家用视听设备、计算机软件及辅助设备、日用家电、电动自行车等行业分别同比增长107.6%、157.5%、58.4%、67.6%，合计拉动限上零售额1.2个百分点，其中家用视听设备、家电零售、电动自行车较上年分别提高62.7、31.1、24.8个百分点。</w:t>
      </w:r>
    </w:p>
    <w:p w14:paraId="71BB23E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服务业发展态势良好。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1-5月全区规模以上服务业累计上报营业收入91.6亿元，同比增长43.5%。其中涉及GDP核算的十个行业累计上报营业收入59.8亿元，同比增长61.8%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十个核算行业增幅分别为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225.8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59.3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-40.5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1.3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149.6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83.9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14.6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0.1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%、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1.2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%和</w:t>
      </w:r>
      <w:r>
        <w:rPr>
          <w:rStyle w:val="13"/>
          <w:rFonts w:hint="default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36.1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111FBC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居民收入平稳增长。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一季度，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全区实现居民人均可支配收入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19684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元，同比增长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%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。其中，城镇居民人均可支配收入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23972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元，同比增长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%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；农村居民人均可支配收入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5050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元，同比增长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%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。城乡居民收入差距进一步缩小，农村居民收入增速快于城镇居民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1.2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个百分点，城乡居民人均收入比值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1.59:1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，比上年同期缩小0.0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CD99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mNlMzczMDE4ZjJlYWYwMGE3NzI0YzI5NTAyOGMifQ=="/>
  </w:docVars>
  <w:rsids>
    <w:rsidRoot w:val="7E5A114C"/>
    <w:rsid w:val="002A5791"/>
    <w:rsid w:val="01944F30"/>
    <w:rsid w:val="01CE7351"/>
    <w:rsid w:val="033C405D"/>
    <w:rsid w:val="07312F40"/>
    <w:rsid w:val="0C010C19"/>
    <w:rsid w:val="0FC1070A"/>
    <w:rsid w:val="102B740D"/>
    <w:rsid w:val="143617E2"/>
    <w:rsid w:val="22714A24"/>
    <w:rsid w:val="22FE16B5"/>
    <w:rsid w:val="2AE9408B"/>
    <w:rsid w:val="2BE6575E"/>
    <w:rsid w:val="2E4162EF"/>
    <w:rsid w:val="2F7E54C4"/>
    <w:rsid w:val="32B77AC3"/>
    <w:rsid w:val="337149DF"/>
    <w:rsid w:val="3813028F"/>
    <w:rsid w:val="3BE806B0"/>
    <w:rsid w:val="3C0A45D1"/>
    <w:rsid w:val="3D5F5A18"/>
    <w:rsid w:val="40E32281"/>
    <w:rsid w:val="4A823C27"/>
    <w:rsid w:val="4C317754"/>
    <w:rsid w:val="4CD2410B"/>
    <w:rsid w:val="50FE4613"/>
    <w:rsid w:val="52BC0D87"/>
    <w:rsid w:val="541A6706"/>
    <w:rsid w:val="57AD78E7"/>
    <w:rsid w:val="5E472732"/>
    <w:rsid w:val="5F770C2E"/>
    <w:rsid w:val="63EE4A5B"/>
    <w:rsid w:val="6A45548F"/>
    <w:rsid w:val="6DBB590E"/>
    <w:rsid w:val="72D761FB"/>
    <w:rsid w:val="75F8738A"/>
    <w:rsid w:val="76695353"/>
    <w:rsid w:val="7E5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3"/>
    </w:pPr>
    <w:rPr>
      <w:rFonts w:ascii="Arial" w:hAnsi="Arial" w:eastAsia="方正仿宋_GBK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unhideWhenUsed/>
    <w:qFormat/>
    <w:uiPriority w:val="0"/>
    <w:pPr>
      <w:ind w:firstLine="630" w:firstLineChars="200"/>
      <w:jc w:val="left"/>
    </w:pPr>
    <w:rPr>
      <w:rFonts w:ascii="Times New Roman" w:hAnsi="Times New Roman"/>
      <w:kern w:val="2"/>
      <w:sz w:val="30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Title"/>
    <w:basedOn w:val="1"/>
    <w:next w:val="9"/>
    <w:autoRedefine/>
    <w:qFormat/>
    <w:uiPriority w:val="0"/>
    <w:pPr>
      <w:spacing w:line="580" w:lineRule="exact"/>
      <w:ind w:left="640" w:leftChars="200"/>
      <w:outlineLvl w:val="0"/>
    </w:pPr>
    <w:rPr>
      <w:rFonts w:ascii="Arial" w:hAnsi="Arial" w:eastAsia="方正仿宋_GBK"/>
    </w:rPr>
  </w:style>
  <w:style w:type="paragraph" w:customStyle="1" w:styleId="9">
    <w:name w:val="正文文本缩进1"/>
    <w:basedOn w:val="1"/>
    <w:autoRedefine/>
    <w:qFormat/>
    <w:uiPriority w:val="99"/>
    <w:pPr>
      <w:ind w:left="420" w:leftChars="200"/>
    </w:pPr>
  </w:style>
  <w:style w:type="paragraph" w:styleId="10">
    <w:name w:val="Body Text First Indent 2"/>
    <w:basedOn w:val="6"/>
    <w:autoRedefine/>
    <w:unhideWhenUsed/>
    <w:qFormat/>
    <w:uiPriority w:val="99"/>
    <w:pPr>
      <w:spacing w:after="120"/>
      <w:ind w:left="420" w:leftChars="200" w:firstLine="420"/>
      <w:jc w:val="both"/>
    </w:pPr>
    <w:rPr>
      <w:rFonts w:ascii="Calibri" w:hAnsi="Calibri"/>
      <w:kern w:val="0"/>
      <w:sz w:val="20"/>
      <w:lang w:val="en-US" w:eastAsia="zh-CN"/>
    </w:rPr>
  </w:style>
  <w:style w:type="character" w:customStyle="1" w:styleId="13">
    <w:name w:val="bjh-p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1526</Characters>
  <Lines>0</Lines>
  <Paragraphs>0</Paragraphs>
  <TotalTime>1</TotalTime>
  <ScaleCrop>false</ScaleCrop>
  <LinksUpToDate>false</LinksUpToDate>
  <CharactersWithSpaces>1526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2024-01-31T00:59:00Z</dcterms:created>
  <dc:creator>张阳</dc:creator>
  <cp:lastModifiedBy>张阳</cp:lastModifiedBy>
  <cp:lastPrinted>2025-02-14T01:17:00Z</cp:lastPrinted>
  <dcterms:modified xsi:type="dcterms:W3CDTF">2025-08-14T03:39:15Z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90ABDC3348F34E33AB9817402982CEDC_13</vt:lpwstr>
  </property>
  <property fmtid="{D5CDD505-2E9C-101B-9397-08002B2CF9AE}" pid="4" name="KSOTemplateDocerSaveRecord">
    <vt:lpwstr>eyJoZGlkIjoiNDU2MmNlMzczMDE4ZjJlYWYwMGE3NzI0YzI5NTAyOGMiLCJ1c2VySWQiOiI0MzcwNzg2MzIifQ==</vt:lpwstr>
  </property>
</Properties>
</file>