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ascii="方正小标宋_GBK" w:eastAsia="方正小标宋_GBK"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年淮安市淮安区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仿宋_GBK" w:eastAsia="方正仿宋_GBK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楷体_GBK" w:eastAsia="方正楷体_GBK"/>
          <w:color w:val="auto"/>
          <w:sz w:val="30"/>
          <w:szCs w:val="30"/>
          <w:highlight w:val="none"/>
        </w:rPr>
      </w:pPr>
      <w:r>
        <w:rPr>
          <w:rFonts w:hint="eastAsia" w:ascii="方正楷体_GBK" w:eastAsia="方正楷体_GBK"/>
          <w:color w:val="auto"/>
          <w:sz w:val="30"/>
          <w:szCs w:val="30"/>
          <w:highlight w:val="none"/>
        </w:rPr>
        <w:t>淮安市淮安区统计局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楷体_GBK" w:eastAsia="方正楷体_GBK"/>
          <w:color w:val="auto"/>
          <w:sz w:val="30"/>
          <w:szCs w:val="30"/>
          <w:highlight w:val="none"/>
        </w:rPr>
      </w:pPr>
      <w:r>
        <w:rPr>
          <w:rFonts w:ascii="方正楷体_GBK" w:eastAsia="方正楷体_GBK"/>
          <w:color w:val="auto"/>
          <w:sz w:val="30"/>
          <w:szCs w:val="30"/>
          <w:highlight w:val="none"/>
        </w:rPr>
        <w:t>20</w:t>
      </w:r>
      <w:r>
        <w:rPr>
          <w:rFonts w:hint="eastAsia" w:ascii="方正楷体_GBK" w:eastAsia="方正楷体_GBK"/>
          <w:color w:val="auto"/>
          <w:sz w:val="30"/>
          <w:szCs w:val="30"/>
          <w:highlight w:val="none"/>
        </w:rPr>
        <w:t>2</w:t>
      </w:r>
      <w:r>
        <w:rPr>
          <w:rFonts w:hint="eastAsia" w:ascii="方正楷体_GBK" w:eastAsia="方正楷体_GBK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方正楷体_GBK" w:eastAsia="方正楷体_GBK"/>
          <w:color w:val="auto"/>
          <w:sz w:val="30"/>
          <w:szCs w:val="30"/>
          <w:highlight w:val="none"/>
        </w:rPr>
        <w:t>年</w:t>
      </w:r>
      <w:r>
        <w:rPr>
          <w:rFonts w:hint="eastAsia" w:ascii="方正楷体_GBK" w:eastAsia="方正楷体_GBK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方正楷体_GBK" w:eastAsia="方正楷体_GBK"/>
          <w:color w:val="auto"/>
          <w:sz w:val="30"/>
          <w:szCs w:val="30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2024年，我们坚持以习近平新时代中国特色社会主义思想为指导，深入学习贯彻党的二十大和二十届二中、三中全会精神，对标落实习近平总书记对江苏工作重要讲话精神，锚定“当龙头、作表率”定位，牢记嘱托、感恩奋进，较好完成了年度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经济总量稳步增长。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初步核算，全年实现地区生产总值</w:t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856.62亿元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，同比增长</w:t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7.5%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其中，第一产业实现增加值90.58亿元，同比增长4.5%；第二产业实现增加值347.09亿元，同比增长8.0%；第三产业实现增加值418.95亿元，同比增长7.9%。三次产业比重为10.6：40.5：48.9，二、三产业增加值占GDP的比重为89.4%，和去年相比上升0.4个百分点。实现人均地区生产总值109676元，按可比价格计算增长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经济活力有效释放。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年末市场监管部门登记的私营企业2.54万户，年末个体经营户6.88万户。全年实现新增列统企业（不含投资）297家，其中工业新增71家，建筑业新增11家，贸易业新增131家，服务业新增82家，房地产业新增2家。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二、农林牧渔业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粮食生产再获丰收。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全年粮食种植面积199.86万亩，比上年增加0.65万亩。粮食产量再创新高，总产98.66万吨，增产0.27万吨，增长0.3%。其中，夏粮产量38.51万吨，增长1.3%；秋粮产量60.16万吨，下降0.4%。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牧业渔业平稳增长。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年末生猪存栏23.82万头，生猪出栏55.61万头，增长2.3%。家禽存栏210.64万只，出栏537.39万只。水产品总产量5.33万吨，增长4.1%。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现代农业加速发展。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生态农业4个试验单元建设取得阶段性成效，改造农田生态化排灌系统1.85万亩。健全农产品质量追溯机制，新建和提升承诺达标合格证服务站点18个，获绿色农产品认证18个。夯实粮食安全根基，实施运西灌区改造工程，建设高标准农田9.2万亩；创成省级优质粮食工程示范县区、全市唯一，施河镇获省级耕地保护激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三、工业和建筑业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工业生产稳中提质。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全区实现工业开票销售收入457.50亿元，同比增长7.0%；实现工业用电量19.10亿千瓦时，同比增长3.9%；规模以上工业增加值同比增长9.1%。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高端装备制造、电子信息两大主导产业开票销售增长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超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20%，机械设备精密配件产业集群入选省中小企业特色产业集群。壮大新型储能产业，张兴储气库通过72小时试采气运行，实现盐穴造腔、注气排卤和采气作业全流程贯通。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建筑业发展平稳。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实现有资质建筑业企业总产值510.31亿元，同比增长10.1%；竣工产值399.98亿元，同比增长14.0%；全区有资质建筑企业实现利润总额22.69亿元；建筑业企业房屋建筑施工面积4081.82万平方米，其中新开工面积1264.11万平方米，竣工面积1405.08万平方米，竣工率34.4%；其中住宅竣工面积1126.86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ascii="黑体" w:hAnsi="黑体" w:eastAsia="黑体"/>
          <w:color w:val="auto"/>
          <w:sz w:val="30"/>
          <w:szCs w:val="30"/>
          <w:highlight w:val="none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固定资产投资保持稳定。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实现规模以上固定资产投资345.71亿元，同比增长18.1%。其中，建筑安装工程投资同比增长19.2%，占固定资产投资比重达85.6%；高技术产业投资占比22.3%。分类型看，项目投资同比增长22.5%，工业投资同比增长34.3%；房地产开发投资同比下降15.9%。全年商品房销售面积88.19万平方米，同比下降3.8%；本年商品房销售额71.11亿元，同比增长8.7%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重大项目稳步推进。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新招引亿元以上项目142个、增长29%，其中工业项目120个；协议引资额896.32亿元，增长69%；新开工亿元以上项目72个，新开工工业项目53个，其中，50亿元以上2个（库比森轮胎、国信苏盐压气储能）、投资规模全市领先，10-50亿元项目9个、数量全市最多，亿元项目42个。新竣工亿元以上项目60个，新竣工工业项目41个，其中，10亿元以上项目3个，亿元项目38个。完成有效投资269.5亿元、同比增长51%，其中，工业项目有效投资223.9亿元、同比增长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五、国内贸易和开放型经济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消费品市场加快复苏。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实现社会消费品零售总额280.08亿元，同比增长6.5%。批发业实现销售额436.65亿元，同比增长16.9%；零售业实现销售额270.99亿元，同比增长16.2%；住宿业实现营业额9.47亿元，同比增长14.9%；餐饮业实现营业额66.27亿元，同比增长17.2%。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消费潜能不断激活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河下古镇文商旅深度融合，蓝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数字文旅产业园盛大开园，萧湖国际大酒店开门迎客，精致早茶、汉服旅拍、特色文创等多元业态相继入驻，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国潮音乐会、状元府沉浸演艺等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活动反响热烈，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跟着美食游淮安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等主题融媒宣传有声有色，全区接待游客超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万人次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旅游综合收入突破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对外贸易稳中提质。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全年全区外贸进出口总额为57.46亿元，同比增长10.5%。全年新设立外商直接投资企业数28家，实际使用外资0.56亿美元，同比下降43.7%。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加快融入长三角一体化发展，淮昆台资合作产业园承接产业转移项目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个、总投资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312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亿元，其中台资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亿元，园区发展获省政府主要领导调研肯定。成功举办淮安区与日本吉备中央町缔结友好城市25周年庆祝活动。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六、交通运输、旅游业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交通运输恢复常态。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完成公路客运量231万人次，客运周转量6600万人公里。完成公路货运量699万吨，同比增长4.3%；货运周转量12.48亿吨公里，同比下降3.2%。完成水路货运量1201万吨，同比下降0.3%；货运周转量31亿吨公里，同比下降2.3%。完成港口吞吐量1378万吨，同比下降4.9%。全区现有公路总里程2316公里，其中等级公路2316公里，高速公路里程81公里，一级公路159公里。拥有公共汽（电）车456辆，客运量231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旅游潜能不断激活。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河下古镇焕新升级、稳居全市顶流，文旅嘉年华火爆出圈，央视、省台接连打卡，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庆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门、新路遗址入选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考古中国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重大项目，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红色旅游融合发展试点经验全国交流，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  <w:lang w:eastAsia="zh-CN"/>
        </w:rPr>
        <w:t>上榜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全国市辖区旅游综合实力百强区。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七、财政、金融业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财政收入稳步增长。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年实现财政总收入62.22亿元，与去年持平。完成一般公共预算收入42.17亿元，同比增长9.3%；其中，税收收入36.20亿元，同比增长20.6%；税收收入占一般公共预算收入比重达85.8%。全年上划中央四税71.69亿元，同比增长203.3%；政府性基金收入40.76亿元，同比下降21.2%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支出结构不断优化。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区一般公共预算支出111.85亿元，同比增长9.4%。主要支出中，社会保障和就业支出19.50亿元，同比增长7.4%；农林水支出18.95亿元，同比增长96.3%；教育支出17.12亿元，同比下降9.6%；一般公共服务支出9.95亿元，同比增长6.2%；住房保障支出9.59亿元，同比增长15.0%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八、科学技术、教育、文化和卫生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创新能力不断增强。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2024年全区专利申请授权量1102件，其中发明专利授权量208件；累计实现有效发明专利数696件。技术合同成交额31.69亿元，国家高新技术企业累计达106家。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入选省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智改数转网联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示范企业33家，其中智能制造示范工厂1家、智能制造示范车间16家、工业互联网平台5家、五星上云企业11家，均创历史新高；认定科技型中小企业132家，获批市级工程技术研究中心7家，飞特尔通信荣获全市唯一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潜在独角兽企业</w:t>
      </w:r>
      <w:r>
        <w:rPr>
          <w:rFonts w:hint="eastAsia" w:ascii="Times New Roman" w:hAnsi="Times New Roman" w:eastAsia="方正仿宋_GBK" w:cs="Times New Roman"/>
          <w:sz w:val="32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教育事业平稳发展。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末拥有各类学校145所，其中普通中学33所，小学45所，幼儿园64所，中等职业学校2所，特殊教育学校1所。各类学校专任教师11444人，其中幼儿园教师1936人，小学教师3730人，普通中学教师5059人，职业教育学校教师675人，特殊教育教师44人。各类学校在校学生119934人，比上年减少6339人，其中学前教育12868人，减少2701人；小学49138人，减少3867人；初中30617人，增加953人；高中17583人，减少373人。各类学校招收新生29704人，其中学前教育3249人，小学6442人，初中10852人，高中6070人。各类学校毕业生36082人，其中学前教育6236人，小学10372人，初中9996人，高中6281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文化事业稳步推进。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加大古城保护力度，做好河下历史街区保护规划、历史文化名城保护规划修编，制定古城保护实施细则，重点推动老西门大街、农机厂项目开工建设、初见成效，完成施-罗著书处布展开放，谋划启动宋元板闸遗址设计规划；突出微改造、精提升，实施罗柳河两岸、闻思寺周边景观营造，呈现清朗简约的空间布局。打造沉浸式体验，续写文旅嘉年华系列活动，创新非遗项目展示展演形式，引进国潮品牌和创意店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卫生服务持续改善。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末共有各类医院22个（区级医院6个、卫生院16个）、妇幼卫生保健机构1个、专科疾病防治院1个、疾病预防控制中心1个；共有病床4620张（含诊所、医务室，不包含社区卫生服务站，下同），共有卫生技术人员4602人，其中执业医师1390人、执业助理医师370人，注册护士2097人、药剂人员284人、检验人员336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96" w:lineRule="exact"/>
        <w:jc w:val="center"/>
        <w:textAlignment w:val="auto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九、人民生活、社会保障和环境保护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常住人口小幅减少。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年末常住人口77.94万人，比上年减少0.33万人；其中，城镇常住人口44.83万人，常住人口城镇化率57.5%。年末户籍户数32.37万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户，户籍人口109.81万人，其中男性57.35万人、女性52.46万人；城镇户籍人口54.44万人，户籍人口城镇化率49.6%。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居民收入稳步增加。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根据住户收支与生活状况调查，全年全区居民人均可支配收入36234元，较上年增加2064元，增长6.0%。按常住地分，城镇居民人均可支配收入44235元，较上年增加2041元，增长4.8%；农村居民人均可支配收入27588元，较上年增加1853元，增长7.2%。按收入构成看，工资性收入22321元为主要收入，占全部收入的61.6%；经营净收入增长最快，增幅为8.7%。全区居民人均消费支出22404元，同比增长6.1%。其中，教育文化娱乐类增速第一，增长8.4%；食品消费支出比重略有下降，恩格尔系数为28.8%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社保体系不断完善。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开展“贷你创业”助力行动，组织各类招聘活动180场，城镇新增就业超5300人。创新根治欠薪“五快”机制，全省推介。总投资1.2亿元的老年人综合服务中心正式营业，完成450户困难家庭适老化改造，新增普惠托育机构3家、普惠托位214个。城乡居民基本养老保险基础养老金最低标准稳步上调。长期护理保险顺利实施，设立定点服务机构18家。发放各类救助保障资金3.25亿元，救助困难群众11.9万人次。发展公益慈善事业，帮扶9492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生态环境持续改善。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开展汛期断面水质达标行动，加大渔滨河、头溪河等重点河流水质管控，里运河住家船实现清零，12个国省考断面优Ⅲ比例达100%；新建污水管网10公里、提标雨污管网45公里，城市生活污水集中收集处理率达75%。完成重点治气项目73个，淘汰国三及以下柴油货车122辆，全区PM2.5年均浓度34.8微克/立方米，优良天数比率84.2%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（1）本公报使用的数据为快报数。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（2）除注明外，所有增长或下降速度均为同上年相比较。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）地区生产总值、规模以上工业增加值及其分类项目增长速度按可比价计算，为实际增长速度；其他指标除特殊说明外，按现价计算，为名义增长速度。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（4）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部分指标数据因统计口径调整，较上年不具可比性。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mNlMzczMDE4ZjJlYWYwMGE3NzI0YzI5NTAyOGMifQ=="/>
  </w:docVars>
  <w:rsids>
    <w:rsidRoot w:val="00000000"/>
    <w:rsid w:val="002724C6"/>
    <w:rsid w:val="009344C6"/>
    <w:rsid w:val="00CA637E"/>
    <w:rsid w:val="01FD0F0F"/>
    <w:rsid w:val="02BF797B"/>
    <w:rsid w:val="02E206A6"/>
    <w:rsid w:val="02E5311B"/>
    <w:rsid w:val="04BD2A31"/>
    <w:rsid w:val="074721FA"/>
    <w:rsid w:val="08D767A2"/>
    <w:rsid w:val="08DD4532"/>
    <w:rsid w:val="09F2400E"/>
    <w:rsid w:val="0AF54D9E"/>
    <w:rsid w:val="10564027"/>
    <w:rsid w:val="11282C98"/>
    <w:rsid w:val="144B4B4B"/>
    <w:rsid w:val="169C6255"/>
    <w:rsid w:val="193E35D4"/>
    <w:rsid w:val="1B8A054A"/>
    <w:rsid w:val="1BF3513F"/>
    <w:rsid w:val="1E4D5BE2"/>
    <w:rsid w:val="216A3B80"/>
    <w:rsid w:val="219C5C6F"/>
    <w:rsid w:val="24227531"/>
    <w:rsid w:val="25BB57AA"/>
    <w:rsid w:val="26964247"/>
    <w:rsid w:val="273E266C"/>
    <w:rsid w:val="27556C03"/>
    <w:rsid w:val="28D02F25"/>
    <w:rsid w:val="29630DA9"/>
    <w:rsid w:val="296F6CA5"/>
    <w:rsid w:val="29B36EBE"/>
    <w:rsid w:val="322D595C"/>
    <w:rsid w:val="32EE78AF"/>
    <w:rsid w:val="33356193"/>
    <w:rsid w:val="350729A5"/>
    <w:rsid w:val="35257EBF"/>
    <w:rsid w:val="3527393A"/>
    <w:rsid w:val="352A4C46"/>
    <w:rsid w:val="3747333B"/>
    <w:rsid w:val="37936BCB"/>
    <w:rsid w:val="3CE81A7C"/>
    <w:rsid w:val="3E392D5A"/>
    <w:rsid w:val="3EA6303D"/>
    <w:rsid w:val="41E7318A"/>
    <w:rsid w:val="41F663E1"/>
    <w:rsid w:val="42537038"/>
    <w:rsid w:val="478C4E3C"/>
    <w:rsid w:val="47BA08C7"/>
    <w:rsid w:val="48715537"/>
    <w:rsid w:val="48C947E7"/>
    <w:rsid w:val="49900B72"/>
    <w:rsid w:val="4A7E7B8C"/>
    <w:rsid w:val="4B7D5536"/>
    <w:rsid w:val="4C1170CB"/>
    <w:rsid w:val="4C561B3E"/>
    <w:rsid w:val="4D8D1C53"/>
    <w:rsid w:val="4ED447FD"/>
    <w:rsid w:val="4FBE7D1A"/>
    <w:rsid w:val="51502047"/>
    <w:rsid w:val="521F1A72"/>
    <w:rsid w:val="524D522F"/>
    <w:rsid w:val="52A86F2C"/>
    <w:rsid w:val="54162BD6"/>
    <w:rsid w:val="54192FB8"/>
    <w:rsid w:val="550E7937"/>
    <w:rsid w:val="550F7DE4"/>
    <w:rsid w:val="55EE7B38"/>
    <w:rsid w:val="56FF24A2"/>
    <w:rsid w:val="5706331C"/>
    <w:rsid w:val="57EE25AF"/>
    <w:rsid w:val="58664F84"/>
    <w:rsid w:val="5A601E9A"/>
    <w:rsid w:val="5BF44F90"/>
    <w:rsid w:val="5C7F2624"/>
    <w:rsid w:val="5F105C3D"/>
    <w:rsid w:val="5F8B04F2"/>
    <w:rsid w:val="625935EA"/>
    <w:rsid w:val="634B0E47"/>
    <w:rsid w:val="63900A77"/>
    <w:rsid w:val="648D1BC4"/>
    <w:rsid w:val="673A2DBF"/>
    <w:rsid w:val="675F318C"/>
    <w:rsid w:val="68282DCF"/>
    <w:rsid w:val="69103BA2"/>
    <w:rsid w:val="69A32D46"/>
    <w:rsid w:val="69C02956"/>
    <w:rsid w:val="6B447698"/>
    <w:rsid w:val="6B4B7308"/>
    <w:rsid w:val="6BDB3A77"/>
    <w:rsid w:val="6D4F6390"/>
    <w:rsid w:val="6E597D3A"/>
    <w:rsid w:val="6F372C75"/>
    <w:rsid w:val="6FD62EEF"/>
    <w:rsid w:val="71CA03B0"/>
    <w:rsid w:val="7353755A"/>
    <w:rsid w:val="759537CC"/>
    <w:rsid w:val="75C51107"/>
    <w:rsid w:val="75E00CD6"/>
    <w:rsid w:val="767B20DE"/>
    <w:rsid w:val="795E1667"/>
    <w:rsid w:val="79FD45AC"/>
    <w:rsid w:val="7A026BAA"/>
    <w:rsid w:val="7A3809B0"/>
    <w:rsid w:val="7A97500D"/>
    <w:rsid w:val="7B246BFA"/>
    <w:rsid w:val="7C143233"/>
    <w:rsid w:val="7C8F003B"/>
    <w:rsid w:val="7E522C41"/>
    <w:rsid w:val="7EB45671"/>
    <w:rsid w:val="7EE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3965</Words>
  <Characters>4732</Characters>
  <Lines>0</Lines>
  <Paragraphs>0</Paragraphs>
  <TotalTime>0</TotalTime>
  <ScaleCrop>false</ScaleCrop>
  <LinksUpToDate>false</LinksUpToDate>
  <CharactersWithSpaces>4732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2021-03-29T01:23:00Z</dcterms:created>
  <dc:creator>hp</dc:creator>
  <cp:lastModifiedBy>Administrator</cp:lastModifiedBy>
  <cp:lastPrinted>2025-07-02T06:34:00Z</cp:lastPrinted>
  <dcterms:modified xsi:type="dcterms:W3CDTF">2025-07-02T08:46:31Z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423726915_cloud</vt:lpwstr>
  </property>
  <property fmtid="{D5CDD505-2E9C-101B-9397-08002B2CF9AE}" pid="4" name="ICV">
    <vt:lpwstr>9C6979237C3A4439B95816282AEECDD6_13</vt:lpwstr>
  </property>
  <property fmtid="{D5CDD505-2E9C-101B-9397-08002B2CF9AE}" pid="5" name="KSOTemplateDocerSaveRecord">
    <vt:lpwstr>eyJoZGlkIjoiNDU2MmNlMzczMDE4ZjJlYWYwMGE3NzI0YzI5NTAyOGMiLCJ1c2VySWQiOiI0MzcwNzg2MzIifQ==</vt:lpwstr>
  </property>
</Properties>
</file>