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44"/>
          <w:szCs w:val="44"/>
          <w:highlight w:val="none"/>
          <w:lang w:val="en-US" w:eastAsia="zh-CN"/>
        </w:rPr>
        <w:t>2025年一季度全区经济运行情况分析</w:t>
      </w:r>
    </w:p>
    <w:p w14:paraId="7AB5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eastAsia="zh-CN"/>
        </w:rPr>
      </w:pPr>
    </w:p>
    <w:p w14:paraId="6934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eastAsia="zh-CN"/>
        </w:rPr>
        <w:t>一季度</w:t>
      </w:r>
      <w:r>
        <w:rPr>
          <w:rStyle w:val="13"/>
          <w:rFonts w:ascii="Times New Roman" w:hAnsi="Times New Roman" w:eastAsia="方正仿宋_GBK"/>
          <w:color w:val="000000"/>
          <w:sz w:val="32"/>
          <w:szCs w:val="32"/>
          <w:highlight w:val="none"/>
        </w:rPr>
        <w:t>，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全区实现地区生产总值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207.54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亿元，按照可比价格计算，同比增长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7.2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%，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增幅分别高于全省、全市1.3个和0.2个百分点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其中，第一产业实现增加值9.8亿元，同比增长5.4%；第二产业实现增加值89.77亿元，同比增长6.3%；第三产业实现增加值107.97亿元，同比增长8.2%。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三次产业比重为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4.7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43.3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52.0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，二、三产业增加值占GDP的比重为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95.3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，和去年相比上升0.1个百分点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。</w:t>
      </w:r>
    </w:p>
    <w:p w14:paraId="64C7A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（一）农业生产形势稳定。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一季度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，全区</w:t>
      </w:r>
      <w:r>
        <w:rPr>
          <w:rStyle w:val="13"/>
          <w:rFonts w:hint="eastAsia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实现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农林牧渔业</w:t>
      </w:r>
      <w:bookmarkStart w:id="0" w:name="_GoBack"/>
      <w:bookmarkEnd w:id="0"/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总产值19.23亿元，</w:t>
      </w:r>
      <w:r>
        <w:rPr>
          <w:rStyle w:val="13"/>
          <w:rFonts w:hint="eastAsia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同比增长5.4%，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实现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农林牧渔业</w:t>
      </w:r>
      <w:r>
        <w:rPr>
          <w:rStyle w:val="13"/>
          <w:rFonts w:hint="eastAsia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增加值10.49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亿元</w:t>
      </w:r>
      <w:r>
        <w:rPr>
          <w:rStyle w:val="13"/>
          <w:rFonts w:hint="eastAsia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，同比增长5.4%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一季度实现蔬菜播种面积3.94万亩，同比增长1.6%，实现蔬菜产量13.54万吨，同比增长3.4%；实现瓜果播种面积0.12万亩，同比增长0.3%，实现瓜果产量0.27万吨，同比增长6.2%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一季度</w:t>
      </w:r>
      <w:r>
        <w:rPr>
          <w:rStyle w:val="13"/>
          <w:rFonts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累计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生猪存栏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25.02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万头，同比下降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1.61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生猪出栏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11.4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万头，同比减少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万头，同比下降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16.7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%。</w:t>
      </w:r>
    </w:p>
    <w:p w14:paraId="05E98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（二）生产领域保持稳定。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一季度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规模以上工业增加值同比增长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14.3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，比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2月份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加快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.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个百分点。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我区规上工业共涉及30个行业大类，有22个行业大类正增长，增长面达73.3%，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其中食品制造业、非金属矿物制品业、计算机通信和其他电子设备制造业和废弃资源综合利用业</w:t>
      </w:r>
      <w:r>
        <w:rPr>
          <w:rStyle w:val="13"/>
          <w:rFonts w:hint="eastAsia" w:ascii="Times New Roman" w:hAnsi="Times New Roman"/>
          <w:color w:val="000000"/>
          <w:sz w:val="32"/>
          <w:szCs w:val="32"/>
          <w:highlight w:val="none"/>
          <w:lang w:val="en-US" w:eastAsia="zh-CN"/>
        </w:rPr>
        <w:t>作为我区支柱行业，产值增幅分别达到10.3%、10.5%、32.5%和468.9%，拉升全区产值增幅7.6个百分点。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实现工业开票销售收入107.93亿元，同比增长7.8%；实现工业用电量4.59亿千瓦时，同比增长5%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。</w:t>
      </w:r>
    </w:p>
    <w:p w14:paraId="6E18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投资增速逐步企稳。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一季度，全区实现固定资产投资77.97亿元，同比增长9.5%，排名第2。其中实现工业投资59.99亿元，同比增长13.5%，快于规上投资增长4.0个百分点，占全部投资比重为76.9%；库比森轮胎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、国信苏盐压缩空气储能、中希微电一体成型电感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等重大产业项目有力推进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，全区亿元以上在库项目完成投资同比增长26.5%，拉动全区固定资产投资增长21.6个百分点。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从资金来源看，民间投资增长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11.0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%，占全部投资比重为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78.8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%。</w:t>
      </w:r>
    </w:p>
    <w:p w14:paraId="2CDF4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（四）消费潜力持续释放。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一季度，全区实现社会消费品零售总额81.63亿元，同比增长6.1%。</w:t>
      </w:r>
      <w:r>
        <w:rPr>
          <w:rStyle w:val="13"/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分行业看，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批零住餐四个行业分别实现贸易额154、69.21、2.07和17.36亿元，分别同比增长16.2%、7.9%、17.9%和9%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。分商品类别看，以旧换新政策成果明显，家用视听设备零售、日用家电零售、计算机软件及辅助设备零售、家具零售、通讯设备批发等行业分别同比增长184.9%、110.6%、65.1%、64.3%、24.2%。数字消费发展迅猛，通过公共网络实现的零售额同比增长63.5%，高于行业平均增幅45.4个百分点，拉动限上社零增幅10.7个百分点。</w:t>
      </w:r>
    </w:p>
    <w:p w14:paraId="71BB23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服务业增速全市领先。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一季度全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服务业增加值同比增长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.2%，快于地区生产总值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1.0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个百分点，增速位居全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第1。1-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月份，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全区规模以上服务业核算行业累计营收26.1亿元，同比增长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49.4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%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，排名第1</w:t>
      </w:r>
      <w:r>
        <w:rPr>
          <w:rStyle w:val="13"/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十个核算行业增幅分别为396.5%、79.9%、-31.6%、24.5%、171.3%、49%、0.7%、13%、36.8%和24.9%</w:t>
      </w:r>
      <w:r>
        <w:rPr>
          <w:rStyle w:val="13"/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。</w:t>
      </w:r>
    </w:p>
    <w:p w14:paraId="111FBC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b/>
          <w:bCs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Times New Roman" w:hAnsi="Times New Roman" w:eastAsia="方正楷体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居民收入平稳增长。</w:t>
      </w:r>
      <w:r>
        <w:rPr>
          <w:rStyle w:val="13"/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一季度，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全区实现居民人均可支配收入13233元，同比增长5.9%。其中，城镇居民人均可支配收入14691元，同比增长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%；农村居民人均可支配收入11656元，同比增长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6.6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%。城乡居民收入差距进一步缩小，农村居民收入增速快于城镇居民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个百分点，城乡居民人均收入比值1.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26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:1，比上年同期缩小0.0</w:t>
      </w:r>
      <w:r>
        <w:rPr>
          <w:rStyle w:val="13"/>
          <w:rFonts w:hint="eastAsia" w:ascii="Times New Roman" w:hAnsi="Times New Roman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Style w:val="13"/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D99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mNlMzczMDE4ZjJlYWYwMGE3NzI0YzI5NTAyOGMifQ=="/>
  </w:docVars>
  <w:rsids>
    <w:rsidRoot w:val="7E5A114C"/>
    <w:rsid w:val="002A5791"/>
    <w:rsid w:val="01944F30"/>
    <w:rsid w:val="01CE7351"/>
    <w:rsid w:val="033C405D"/>
    <w:rsid w:val="07312F40"/>
    <w:rsid w:val="0C010C19"/>
    <w:rsid w:val="0FC1070A"/>
    <w:rsid w:val="102B740D"/>
    <w:rsid w:val="143617E2"/>
    <w:rsid w:val="22714A24"/>
    <w:rsid w:val="22FE16B5"/>
    <w:rsid w:val="2AE9408B"/>
    <w:rsid w:val="2BE6575E"/>
    <w:rsid w:val="2E4162EF"/>
    <w:rsid w:val="2F7E54C4"/>
    <w:rsid w:val="32B77AC3"/>
    <w:rsid w:val="337149DF"/>
    <w:rsid w:val="3813028F"/>
    <w:rsid w:val="3BE806B0"/>
    <w:rsid w:val="3C0A45D1"/>
    <w:rsid w:val="3D5F5A18"/>
    <w:rsid w:val="40E32281"/>
    <w:rsid w:val="4A823C27"/>
    <w:rsid w:val="4C317754"/>
    <w:rsid w:val="4CD2410B"/>
    <w:rsid w:val="50FE4613"/>
    <w:rsid w:val="541A6706"/>
    <w:rsid w:val="57AD78E7"/>
    <w:rsid w:val="5E472732"/>
    <w:rsid w:val="5F770C2E"/>
    <w:rsid w:val="63EE4A5B"/>
    <w:rsid w:val="6A45548F"/>
    <w:rsid w:val="6DBB590E"/>
    <w:rsid w:val="72D761FB"/>
    <w:rsid w:val="75F8738A"/>
    <w:rsid w:val="7E5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3"/>
    </w:pPr>
    <w:rPr>
      <w:rFonts w:ascii="Arial" w:hAnsi="Arial" w:eastAsia="方正仿宋_GBK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unhideWhenUsed/>
    <w:qFormat/>
    <w:uiPriority w:val="0"/>
    <w:pPr>
      <w:ind w:firstLine="630" w:firstLineChars="200"/>
      <w:jc w:val="left"/>
    </w:pPr>
    <w:rPr>
      <w:rFonts w:ascii="Times New Roman" w:hAnsi="Times New Roman"/>
      <w:kern w:val="2"/>
      <w:sz w:val="30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Title"/>
    <w:basedOn w:val="1"/>
    <w:next w:val="9"/>
    <w:autoRedefine/>
    <w:qFormat/>
    <w:uiPriority w:val="0"/>
    <w:pPr>
      <w:spacing w:line="580" w:lineRule="exact"/>
      <w:ind w:left="640" w:leftChars="200"/>
      <w:outlineLvl w:val="0"/>
    </w:pPr>
    <w:rPr>
      <w:rFonts w:ascii="Arial" w:hAnsi="Arial" w:eastAsia="方正仿宋_GBK"/>
    </w:rPr>
  </w:style>
  <w:style w:type="paragraph" w:customStyle="1" w:styleId="9">
    <w:name w:val="正文文本缩进1"/>
    <w:basedOn w:val="1"/>
    <w:autoRedefine/>
    <w:qFormat/>
    <w:uiPriority w:val="99"/>
    <w:pPr>
      <w:ind w:left="420" w:leftChars="200"/>
    </w:pPr>
  </w:style>
  <w:style w:type="paragraph" w:styleId="10">
    <w:name w:val="Body Text First Indent 2"/>
    <w:basedOn w:val="6"/>
    <w:autoRedefine/>
    <w:unhideWhenUsed/>
    <w:qFormat/>
    <w:uiPriority w:val="99"/>
    <w:pPr>
      <w:spacing w:after="120"/>
      <w:ind w:left="420" w:leftChars="200" w:firstLine="420"/>
      <w:jc w:val="both"/>
    </w:pPr>
    <w:rPr>
      <w:rFonts w:ascii="Calibri" w:hAnsi="Calibri"/>
      <w:kern w:val="0"/>
      <w:sz w:val="20"/>
      <w:lang w:val="en-US" w:eastAsia="zh-CN"/>
    </w:rPr>
  </w:style>
  <w:style w:type="character" w:customStyle="1" w:styleId="13">
    <w:name w:val="bjh-p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1508</Characters>
  <Lines>0</Lines>
  <Paragraphs>0</Paragraphs>
  <TotalTime>0</TotalTime>
  <ScaleCrop>false</ScaleCrop>
  <LinksUpToDate>false</LinksUpToDate>
  <CharactersWithSpaces>1508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2024-01-31T00:59:00Z</dcterms:created>
  <dc:creator>张阳</dc:creator>
  <cp:lastModifiedBy>写给未来</cp:lastModifiedBy>
  <cp:lastPrinted>2025-02-14T01:17:00Z</cp:lastPrinted>
  <dcterms:modified xsi:type="dcterms:W3CDTF">2025-05-08T08:05:56Z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FA4708D17196455283C8E45ECC252333_13</vt:lpwstr>
  </property>
  <property fmtid="{D5CDD505-2E9C-101B-9397-08002B2CF9AE}" pid="4" name="KSOTemplateDocerSaveRecord">
    <vt:lpwstr>eyJoZGlkIjoiZDk4MDgyODIyZDk3M2I0YjNjYTdkYWIyNGE0MzY5ODUiLCJ1c2VySWQiOiIxMTA2NzE5OTMyIn0=</vt:lpwstr>
  </property>
</Properties>
</file>