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overflowPunct/>
        <w:topLinePunct w:val="0"/>
        <w:bidi w:val="0"/>
        <w:spacing w:line="560" w:lineRule="exact"/>
        <w:rPr>
          <w:rFonts w:hint="eastAsia" w:ascii="Times New Roman" w:hAnsi="Times New Roman" w:eastAsia="方正楷体_GBK"/>
          <w:b/>
          <w:bCs/>
          <w:sz w:val="32"/>
          <w:szCs w:val="32"/>
        </w:rPr>
      </w:pPr>
      <w:r>
        <w:rPr>
          <w:rFonts w:hint="eastAsia" w:ascii="黑体" w:hAnsi="黑体" w:eastAsia="黑体" w:cs="黑体"/>
          <w:sz w:val="32"/>
          <w:szCs w:val="32"/>
        </w:rPr>
        <w:t>附件2</w:t>
      </w:r>
      <w:r>
        <w:rPr>
          <w:rFonts w:hint="eastAsia" w:ascii="黑体" w:hAnsi="黑体" w:eastAsia="黑体" w:cs="黑体"/>
          <w:b/>
          <w:bCs/>
          <w:sz w:val="32"/>
          <w:szCs w:val="32"/>
        </w:rPr>
        <w:t xml:space="preserve"> </w:t>
      </w:r>
      <w:r>
        <w:rPr>
          <w:rFonts w:hint="eastAsia" w:ascii="Times New Roman" w:hAnsi="Times New Roman" w:eastAsia="方正楷体_GBK"/>
          <w:b/>
          <w:bCs/>
          <w:sz w:val="32"/>
          <w:szCs w:val="32"/>
        </w:rPr>
        <w:t xml:space="preserve"> </w:t>
      </w:r>
    </w:p>
    <w:p>
      <w:pPr>
        <w:pageBreakBefore w:val="0"/>
        <w:wordWrap/>
        <w:overflowPunct/>
        <w:topLinePunct w:val="0"/>
        <w:bidi w:val="0"/>
        <w:spacing w:line="560" w:lineRule="exact"/>
        <w:ind w:firstLine="964" w:firstLineChars="300"/>
        <w:rPr>
          <w:rFonts w:hint="eastAsia" w:ascii="黑体" w:hAnsi="黑体" w:eastAsia="黑体" w:cs="黑体"/>
          <w:b/>
          <w:bCs/>
          <w:sz w:val="32"/>
          <w:szCs w:val="32"/>
        </w:rPr>
      </w:pPr>
    </w:p>
    <w:p>
      <w:pPr>
        <w:pageBreakBefore w:val="0"/>
        <w:wordWrap/>
        <w:overflowPunct/>
        <w:topLinePunct w:val="0"/>
        <w:bidi w:val="0"/>
        <w:spacing w:line="560" w:lineRule="exact"/>
        <w:ind w:firstLine="440" w:firstLineChars="100"/>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串通投标、恶意投诉、虚假投标行为特征</w:t>
      </w:r>
    </w:p>
    <w:p>
      <w:pPr>
        <w:pageBreakBefore w:val="0"/>
        <w:wordWrap/>
        <w:overflowPunct/>
        <w:topLinePunct w:val="0"/>
        <w:bidi w:val="0"/>
        <w:spacing w:line="560" w:lineRule="exact"/>
        <w:ind w:firstLine="643" w:firstLineChars="200"/>
        <w:rPr>
          <w:rFonts w:hint="eastAsia" w:ascii="Times New Roman" w:hAnsi="Times New Roman" w:eastAsia="方正楷体_GBK"/>
          <w:b/>
          <w:bCs/>
          <w:sz w:val="32"/>
          <w:szCs w:val="32"/>
        </w:rPr>
      </w:pPr>
    </w:p>
    <w:p>
      <w:pPr>
        <w:pageBreakBefore w:val="0"/>
        <w:wordWrap/>
        <w:overflowPunct/>
        <w:topLinePunct w:val="0"/>
        <w:bidi w:val="0"/>
        <w:spacing w:line="560" w:lineRule="exact"/>
        <w:ind w:firstLine="640" w:firstLineChars="200"/>
        <w:rPr>
          <w:rFonts w:hint="eastAsia" w:ascii="Times New Roman" w:hAnsi="Times New Roman" w:eastAsia="黑体"/>
          <w:b/>
          <w:bCs/>
          <w:sz w:val="32"/>
          <w:szCs w:val="32"/>
        </w:rPr>
      </w:pPr>
      <w:r>
        <w:rPr>
          <w:rFonts w:hint="eastAsia" w:ascii="黑体" w:hAnsi="黑体" w:eastAsia="黑体" w:cs="黑体"/>
          <w:sz w:val="32"/>
          <w:szCs w:val="32"/>
        </w:rPr>
        <w:t>一、串通投标方面行为特征</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1.投标人之间协商投标报价等投标文件的实质性内容；</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2.投标人之间约定中标人；</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3.投标人之间约定部分投标人放弃投标或者中标；</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4.属于同一集团、协会、商会等组织成员的投标人按照该组织要求协同投标；</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5.投标人之间为谋取中标或者排斥特定投标人而采取的其他联合行动</w:t>
      </w:r>
      <w:r>
        <w:rPr>
          <w:rFonts w:hint="eastAsia" w:ascii="Times New Roman" w:hAnsi="Times New Roman" w:eastAsia="方正仿宋_GBK" w:cs="Times New Roman"/>
          <w:kern w:val="0"/>
          <w:sz w:val="32"/>
          <w:szCs w:val="32"/>
          <w:lang w:val="en-US" w:eastAsia="zh-CN" w:bidi="ar-SA"/>
        </w:rPr>
        <w:t>；</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6.不同投标人的投标文件由同一单位或者个人编制；</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7.不同投标人委托同一单位或者个人办理投标事宜；</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8.不同投标人的投标文件中项目管理成员为同一人；</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9.不同投标人的投标文件异常一致或者投标报价呈规律性差异；</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10.不同投标人投标保证金从同一单位或者个人的账户转出</w:t>
      </w:r>
      <w:r>
        <w:rPr>
          <w:rFonts w:hint="eastAsia" w:ascii="Times New Roman" w:hAnsi="Times New Roman" w:eastAsia="方正仿宋_GBK" w:cs="Times New Roman"/>
          <w:kern w:val="0"/>
          <w:sz w:val="32"/>
          <w:szCs w:val="32"/>
          <w:lang w:val="en-US" w:eastAsia="zh-CN" w:bidi="ar-SA"/>
        </w:rPr>
        <w:t>；</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11.招标人直接或者间接向投标人泄露标底、评标委员会成员等信息；</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12.招标人授意投标人撤换、修改投标文件；</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13.招标人明示或者暗示投标人压低或者抬高投标报价；</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14.招标人明示或者暗示投标人为特定投标人中标提供方便；</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15.招标代理机构编制的招标公告、招标文件、资格审查文件为某个特定投标人设置明显倾向性条款；</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16.招标代理机构明示或暗示投标人压低或者抬高投标报价；</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17.招标代理机构直接或者间接向投标人泄露标底、评标委员会成员等信息；</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18.招标人或招标代理机构与投标人为谋求特定投标人中标而采取的其他串通行为。</w:t>
      </w:r>
    </w:p>
    <w:p>
      <w:pPr>
        <w:pageBreakBefore w:val="0"/>
        <w:wordWrap/>
        <w:overflowPunct/>
        <w:topLinePunct w:val="0"/>
        <w:bidi w:val="0"/>
        <w:spacing w:line="560" w:lineRule="exact"/>
        <w:ind w:firstLine="640" w:firstLineChars="20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二、恶意投诉方面行为特征</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1.投诉人故意捏造事实、伪造证明材料进行投诉的；</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2.投诉人以非法手段取得证明材料进行投诉的；</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3.不符合投诉受理条件，被告知后仍进行投诉的；</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4.投诉处理部门受理投诉后，投诉人仍就同一内容向其他部门进行投诉的；</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5.投诉经查失实，被告知后仍然恶意缠诉的；</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6.一年内三次以上失实投诉的；</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7.投诉事项未按规定先提出异议进行投诉的；</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8.对已进入行政复议或行政诉讼程序的项目进行投诉的；</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9.对准予撤回投诉后又以同一事实和理由提出投诉的；</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10.其他恶意投诉行为。</w:t>
      </w:r>
    </w:p>
    <w:p>
      <w:pPr>
        <w:pageBreakBefore w:val="0"/>
        <w:wordWrap/>
        <w:overflowPunct/>
        <w:topLinePunct w:val="0"/>
        <w:bidi w:val="0"/>
        <w:spacing w:line="560" w:lineRule="exact"/>
        <w:ind w:firstLine="640" w:firstLineChars="20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三、虚假投标方面行为特征</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1.投标人使用伪造、变造的许可证件进行投标；</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2.投标人提供虚假的财务状况进行投标；</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3.投标人提供虚假银行保函、保险保单、担保保函等进行投标；</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4.投标人提供虚假的项目负责人或主要技术人员简历、劳动关系证明等进行投标；</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5.投标人通过受让、租借或者挂靠资质等以他人名义投标；</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6.投标人提供虚假的信用状况进行投标；</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7.投标人提供虚假业绩、奖项等材料进行投标；</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8.投标人提供有与实际不符的承诺材料进行投标；</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9.投标人隐瞒招标文件要求提供的信息或者提供虚假、引人误解的其他信息进行投标；</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10.投标人</w:t>
      </w:r>
      <w:r>
        <w:rPr>
          <w:rFonts w:hint="eastAsia" w:ascii="Times New Roman" w:hAnsi="Times New Roman" w:eastAsia="方正仿宋_GBK" w:cs="Times New Roman"/>
          <w:kern w:val="0"/>
          <w:sz w:val="32"/>
          <w:szCs w:val="32"/>
          <w:lang w:val="en-US" w:eastAsia="zh-CN" w:bidi="ar-SA"/>
        </w:rPr>
        <w:t>通过</w:t>
      </w:r>
      <w:r>
        <w:rPr>
          <w:rFonts w:hint="default" w:ascii="Times New Roman" w:hAnsi="Times New Roman" w:eastAsia="方正仿宋_GBK" w:cs="Times New Roman"/>
          <w:kern w:val="0"/>
          <w:sz w:val="32"/>
          <w:szCs w:val="32"/>
          <w:lang w:val="en-US" w:eastAsia="zh-CN" w:bidi="ar-SA"/>
        </w:rPr>
        <w:t>其他弄虚作假的行为进行投标。</w:t>
      </w: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p>
    <w:p>
      <w:pPr>
        <w:pageBreakBefore w:val="0"/>
        <w:wordWrap/>
        <w:overflowPunct/>
        <w:topLinePunct w:val="0"/>
        <w:bidi w:val="0"/>
        <w:spacing w:line="560" w:lineRule="exact"/>
        <w:ind w:firstLine="640" w:firstLineChars="200"/>
        <w:rPr>
          <w:rFonts w:hint="default" w:ascii="Times New Roman" w:hAnsi="Times New Roman" w:eastAsia="方正仿宋_GBK" w:cs="Times New Roman"/>
          <w:kern w:val="0"/>
          <w:sz w:val="32"/>
          <w:szCs w:val="32"/>
          <w:lang w:val="en-US" w:eastAsia="zh-CN" w:bidi="ar-SA"/>
        </w:rPr>
      </w:pPr>
    </w:p>
    <w:p>
      <w:pPr>
        <w:pStyle w:val="3"/>
        <w:pageBreakBefore w:val="0"/>
        <w:wordWrap/>
        <w:overflowPunct/>
        <w:topLinePunct w:val="0"/>
        <w:bidi w:val="0"/>
        <w:spacing w:line="560" w:lineRule="exact"/>
        <w:rPr>
          <w:rFonts w:hint="default"/>
          <w:lang w:val="en-US" w:eastAsia="zh-CN"/>
        </w:rPr>
      </w:pPr>
    </w:p>
    <w:p>
      <w:pPr>
        <w:pStyle w:val="3"/>
        <w:pageBreakBefore w:val="0"/>
        <w:wordWrap/>
        <w:overflowPunct/>
        <w:topLinePunct w:val="0"/>
        <w:bidi w:val="0"/>
        <w:spacing w:line="560" w:lineRule="exact"/>
        <w:rPr>
          <w:rFonts w:hint="default"/>
          <w:lang w:val="en-US" w:eastAsia="zh-CN"/>
        </w:rPr>
      </w:pPr>
    </w:p>
    <w:p>
      <w:pPr>
        <w:pStyle w:val="3"/>
        <w:pageBreakBefore w:val="0"/>
        <w:wordWrap/>
        <w:overflowPunct/>
        <w:topLinePunct w:val="0"/>
        <w:bidi w:val="0"/>
        <w:spacing w:line="560" w:lineRule="exact"/>
        <w:rPr>
          <w:rFonts w:hint="default"/>
          <w:lang w:val="en-US" w:eastAsia="zh-CN"/>
        </w:rPr>
      </w:pPr>
    </w:p>
    <w:p>
      <w:pPr>
        <w:pStyle w:val="3"/>
        <w:pageBreakBefore w:val="0"/>
        <w:wordWrap/>
        <w:overflowPunct/>
        <w:topLinePunct w:val="0"/>
        <w:bidi w:val="0"/>
        <w:spacing w:line="560" w:lineRule="exact"/>
        <w:rPr>
          <w:rFonts w:hint="default"/>
          <w:lang w:val="en-US" w:eastAsia="zh-CN"/>
        </w:rPr>
      </w:pPr>
    </w:p>
    <w:p>
      <w:pPr>
        <w:pStyle w:val="3"/>
        <w:pageBreakBefore w:val="0"/>
        <w:wordWrap/>
        <w:overflowPunct/>
        <w:topLinePunct w:val="0"/>
        <w:bidi w:val="0"/>
        <w:spacing w:line="560" w:lineRule="exact"/>
        <w:rPr>
          <w:rFonts w:hint="default"/>
          <w:lang w:val="en-US" w:eastAsia="zh-CN"/>
        </w:rPr>
      </w:pPr>
    </w:p>
    <w:p>
      <w:pPr>
        <w:pStyle w:val="3"/>
        <w:pageBreakBefore w:val="0"/>
        <w:wordWrap/>
        <w:overflowPunct/>
        <w:topLinePunct w:val="0"/>
        <w:bidi w:val="0"/>
        <w:spacing w:line="560" w:lineRule="exact"/>
        <w:rPr>
          <w:rFonts w:hint="default"/>
          <w:lang w:val="en-US" w:eastAsia="zh-CN"/>
        </w:rPr>
      </w:pPr>
    </w:p>
    <w:p>
      <w:pPr>
        <w:rPr>
          <w:rFonts w:hint="default"/>
          <w:lang w:val="en-US" w:eastAsia="zh-CN"/>
        </w:rPr>
      </w:pPr>
      <w:bookmarkStart w:id="0" w:name="_GoBack"/>
      <w:bookmarkEnd w:id="0"/>
    </w:p>
    <w:sectPr>
      <w:footerReference r:id="rId3" w:type="default"/>
      <w:pgSz w:w="11906" w:h="16838"/>
      <w:pgMar w:top="2098" w:right="1474" w:bottom="1984" w:left="158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default" w:ascii="Times New Roman" w:hAnsi="Times New Roman" w:cs="Times New Roman"/>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jZWRiYmJmN2VmMjVjMTQ5MTI2OWI3ZDQwODI2ZmIifQ=="/>
  </w:docVars>
  <w:rsids>
    <w:rsidRoot w:val="00000000"/>
    <w:rsid w:val="00A64AF1"/>
    <w:rsid w:val="00F0299F"/>
    <w:rsid w:val="01661B1F"/>
    <w:rsid w:val="01CF7782"/>
    <w:rsid w:val="020A4411"/>
    <w:rsid w:val="04956A61"/>
    <w:rsid w:val="0552191B"/>
    <w:rsid w:val="05923047"/>
    <w:rsid w:val="06234C85"/>
    <w:rsid w:val="062C3530"/>
    <w:rsid w:val="064B4C25"/>
    <w:rsid w:val="0661499E"/>
    <w:rsid w:val="07837045"/>
    <w:rsid w:val="085C0443"/>
    <w:rsid w:val="08F54D9A"/>
    <w:rsid w:val="094822F4"/>
    <w:rsid w:val="0A2148F3"/>
    <w:rsid w:val="0BC26BB8"/>
    <w:rsid w:val="0C5B233E"/>
    <w:rsid w:val="0E0F33E0"/>
    <w:rsid w:val="0E5E407C"/>
    <w:rsid w:val="0F7E5B12"/>
    <w:rsid w:val="0FC36984"/>
    <w:rsid w:val="1066305F"/>
    <w:rsid w:val="10A83678"/>
    <w:rsid w:val="11B04EDA"/>
    <w:rsid w:val="129C0FBA"/>
    <w:rsid w:val="13C945E3"/>
    <w:rsid w:val="13E16B2F"/>
    <w:rsid w:val="14F264F0"/>
    <w:rsid w:val="15A801E6"/>
    <w:rsid w:val="18E010CD"/>
    <w:rsid w:val="19287A4C"/>
    <w:rsid w:val="19CE19A7"/>
    <w:rsid w:val="1A55505B"/>
    <w:rsid w:val="1B83540D"/>
    <w:rsid w:val="1BFF6654"/>
    <w:rsid w:val="1D254379"/>
    <w:rsid w:val="1D7274E7"/>
    <w:rsid w:val="1E982F7E"/>
    <w:rsid w:val="1F4D3D68"/>
    <w:rsid w:val="1F7C1DF0"/>
    <w:rsid w:val="20FA42D6"/>
    <w:rsid w:val="21FA2EDA"/>
    <w:rsid w:val="22F73C11"/>
    <w:rsid w:val="2302130E"/>
    <w:rsid w:val="23166730"/>
    <w:rsid w:val="253D3563"/>
    <w:rsid w:val="2557740C"/>
    <w:rsid w:val="25E81484"/>
    <w:rsid w:val="26324AAF"/>
    <w:rsid w:val="277B51EB"/>
    <w:rsid w:val="278D5B9A"/>
    <w:rsid w:val="27BC6D0A"/>
    <w:rsid w:val="28104A08"/>
    <w:rsid w:val="28E250B4"/>
    <w:rsid w:val="29701D54"/>
    <w:rsid w:val="2A0E2346"/>
    <w:rsid w:val="2BB533C1"/>
    <w:rsid w:val="2BC90C1A"/>
    <w:rsid w:val="2BCA25AF"/>
    <w:rsid w:val="2C0C1D01"/>
    <w:rsid w:val="2C170044"/>
    <w:rsid w:val="2EF131F0"/>
    <w:rsid w:val="2F8950DA"/>
    <w:rsid w:val="31903F88"/>
    <w:rsid w:val="31B27CB2"/>
    <w:rsid w:val="370971AD"/>
    <w:rsid w:val="374F3344"/>
    <w:rsid w:val="37F05781"/>
    <w:rsid w:val="38007ED5"/>
    <w:rsid w:val="38AA327E"/>
    <w:rsid w:val="3AEC20A5"/>
    <w:rsid w:val="3B572D45"/>
    <w:rsid w:val="3B984165"/>
    <w:rsid w:val="3C9B215F"/>
    <w:rsid w:val="3C9F60EF"/>
    <w:rsid w:val="3E1D3B91"/>
    <w:rsid w:val="3E454273"/>
    <w:rsid w:val="3E634880"/>
    <w:rsid w:val="3E906052"/>
    <w:rsid w:val="402E32EA"/>
    <w:rsid w:val="405961D5"/>
    <w:rsid w:val="40BA692C"/>
    <w:rsid w:val="41A21E3A"/>
    <w:rsid w:val="42114C71"/>
    <w:rsid w:val="42921052"/>
    <w:rsid w:val="42B61F80"/>
    <w:rsid w:val="42FF2FF6"/>
    <w:rsid w:val="432644AE"/>
    <w:rsid w:val="43A833B4"/>
    <w:rsid w:val="43D1752E"/>
    <w:rsid w:val="445F3A72"/>
    <w:rsid w:val="44CB1108"/>
    <w:rsid w:val="452A5A17"/>
    <w:rsid w:val="471129FD"/>
    <w:rsid w:val="480C532C"/>
    <w:rsid w:val="488438FD"/>
    <w:rsid w:val="48E20F29"/>
    <w:rsid w:val="49C10FF7"/>
    <w:rsid w:val="4A563B69"/>
    <w:rsid w:val="4B4D2FF2"/>
    <w:rsid w:val="4CC52EF6"/>
    <w:rsid w:val="4D5E7323"/>
    <w:rsid w:val="4F2D0441"/>
    <w:rsid w:val="4F4D5FC8"/>
    <w:rsid w:val="4F894099"/>
    <w:rsid w:val="4F8C5AC6"/>
    <w:rsid w:val="50027A78"/>
    <w:rsid w:val="50BA2C27"/>
    <w:rsid w:val="513D41D6"/>
    <w:rsid w:val="52A31916"/>
    <w:rsid w:val="530D6D8F"/>
    <w:rsid w:val="533844DB"/>
    <w:rsid w:val="562A6468"/>
    <w:rsid w:val="56966750"/>
    <w:rsid w:val="56F75D8C"/>
    <w:rsid w:val="573E1C0D"/>
    <w:rsid w:val="57437223"/>
    <w:rsid w:val="58435E5E"/>
    <w:rsid w:val="58D42829"/>
    <w:rsid w:val="59581DA2"/>
    <w:rsid w:val="5B6836FC"/>
    <w:rsid w:val="5B801186"/>
    <w:rsid w:val="5C13779B"/>
    <w:rsid w:val="5D0F6CD8"/>
    <w:rsid w:val="5DE84004"/>
    <w:rsid w:val="5EC75A8B"/>
    <w:rsid w:val="5F4233E5"/>
    <w:rsid w:val="5F5A609A"/>
    <w:rsid w:val="60450596"/>
    <w:rsid w:val="613573CD"/>
    <w:rsid w:val="622E3F37"/>
    <w:rsid w:val="630500DE"/>
    <w:rsid w:val="63C2133D"/>
    <w:rsid w:val="64E966C0"/>
    <w:rsid w:val="653D67A9"/>
    <w:rsid w:val="654E3963"/>
    <w:rsid w:val="657B09C5"/>
    <w:rsid w:val="65827169"/>
    <w:rsid w:val="65BD1E41"/>
    <w:rsid w:val="65C47781"/>
    <w:rsid w:val="669E4476"/>
    <w:rsid w:val="66CA7019"/>
    <w:rsid w:val="66F95B50"/>
    <w:rsid w:val="68DE4FFE"/>
    <w:rsid w:val="69D67D94"/>
    <w:rsid w:val="69DE0991"/>
    <w:rsid w:val="6A7F4184"/>
    <w:rsid w:val="6AA33E09"/>
    <w:rsid w:val="6AD761A9"/>
    <w:rsid w:val="6B1D005F"/>
    <w:rsid w:val="6B647C74"/>
    <w:rsid w:val="6B730C63"/>
    <w:rsid w:val="6C021003"/>
    <w:rsid w:val="6C9E6F7E"/>
    <w:rsid w:val="6DA93E2C"/>
    <w:rsid w:val="6DB36A59"/>
    <w:rsid w:val="6DEE59FC"/>
    <w:rsid w:val="6FFF4301"/>
    <w:rsid w:val="722A12B4"/>
    <w:rsid w:val="7275692A"/>
    <w:rsid w:val="73F25E01"/>
    <w:rsid w:val="740646DA"/>
    <w:rsid w:val="75CB6B20"/>
    <w:rsid w:val="75EC4046"/>
    <w:rsid w:val="76530DD9"/>
    <w:rsid w:val="77936373"/>
    <w:rsid w:val="788D434B"/>
    <w:rsid w:val="79CD4A16"/>
    <w:rsid w:val="7B074467"/>
    <w:rsid w:val="7B10738F"/>
    <w:rsid w:val="7B641393"/>
    <w:rsid w:val="7BA21EBB"/>
    <w:rsid w:val="7CB763AC"/>
    <w:rsid w:val="7D43322A"/>
    <w:rsid w:val="7E2A4A68"/>
    <w:rsid w:val="7F8516C5"/>
    <w:rsid w:val="7FAB59F0"/>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3" w:lineRule="auto"/>
      <w:outlineLvl w:val="1"/>
    </w:pPr>
    <w:rPr>
      <w:rFonts w:ascii="Arial" w:hAnsi="Arial" w:eastAsia="黑体"/>
      <w:b/>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eastAsia="仿宋"/>
      <w:sz w:val="32"/>
    </w:rPr>
  </w:style>
  <w:style w:type="paragraph" w:styleId="4">
    <w:name w:val="Body Text"/>
    <w:basedOn w:val="1"/>
    <w:unhideWhenUsed/>
    <w:qFormat/>
    <w:uiPriority w:val="99"/>
    <w:rPr>
      <w:rFonts w:ascii="Times New Roman" w:hAnsi="Times New Roman" w:eastAsia="仿宋_GB2312" w:cs="Times New Roman"/>
      <w:sz w:val="32"/>
    </w:rPr>
  </w:style>
  <w:style w:type="paragraph" w:styleId="5">
    <w:name w:val="Body Text Indent"/>
    <w:basedOn w:val="1"/>
    <w:next w:val="3"/>
    <w:qFormat/>
    <w:uiPriority w:val="0"/>
    <w:pPr>
      <w:spacing w:line="570" w:lineRule="exact"/>
      <w:ind w:firstLine="616"/>
    </w:pPr>
    <w:rPr>
      <w:spacing w:val="-6"/>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5"/>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文本 (4)"/>
    <w:basedOn w:val="1"/>
    <w:link w:val="16"/>
    <w:qFormat/>
    <w:uiPriority w:val="99"/>
    <w:pPr>
      <w:shd w:val="clear" w:color="auto" w:fill="FFFFFF"/>
      <w:spacing w:line="240" w:lineRule="exact"/>
      <w:jc w:val="center"/>
    </w:pPr>
    <w:rPr>
      <w:rFonts w:ascii="MingLiU" w:hAnsi="MingLiU" w:eastAsia="MingLiU" w:cs="MingLiU"/>
      <w:sz w:val="17"/>
      <w:szCs w:val="17"/>
    </w:rPr>
  </w:style>
  <w:style w:type="paragraph" w:customStyle="1" w:styleId="14">
    <w:name w:val="正文文本 (2)"/>
    <w:basedOn w:val="1"/>
    <w:qFormat/>
    <w:uiPriority w:val="99"/>
    <w:pPr>
      <w:shd w:val="clear" w:color="auto" w:fill="FFFFFF"/>
      <w:spacing w:before="180" w:line="240" w:lineRule="atLeast"/>
      <w:jc w:val="distribute"/>
    </w:pPr>
    <w:rPr>
      <w:rFonts w:ascii="MingLiU" w:hAnsi="MingLiU" w:eastAsia="MingLiU" w:cs="MingLiU"/>
      <w:sz w:val="17"/>
      <w:szCs w:val="17"/>
    </w:rPr>
  </w:style>
  <w:style w:type="character" w:customStyle="1" w:styleId="15">
    <w:name w:val="正文文本 (4) + 间距 1 pt"/>
    <w:basedOn w:val="16"/>
    <w:qFormat/>
    <w:uiPriority w:val="99"/>
    <w:rPr>
      <w:rFonts w:ascii="MingLiU" w:hAnsi="MingLiU" w:eastAsia="MingLiU" w:cs="MingLiU"/>
      <w:color w:val="000000"/>
      <w:spacing w:val="20"/>
      <w:w w:val="100"/>
      <w:position w:val="0"/>
      <w:sz w:val="17"/>
      <w:szCs w:val="17"/>
      <w:lang w:val="zh-TW" w:eastAsia="zh-TW"/>
    </w:rPr>
  </w:style>
  <w:style w:type="character" w:customStyle="1" w:styleId="16">
    <w:name w:val="正文文本 (4)_"/>
    <w:basedOn w:val="12"/>
    <w:link w:val="13"/>
    <w:qFormat/>
    <w:locked/>
    <w:uiPriority w:val="99"/>
    <w:rPr>
      <w:rFonts w:ascii="MingLiU" w:hAnsi="MingLiU" w:eastAsia="MingLiU" w:cs="MingLiU"/>
      <w:sz w:val="17"/>
      <w:szCs w:val="1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4862</Words>
  <Characters>4945</Characters>
  <Lines>0</Lines>
  <Paragraphs>0</Paragraphs>
  <TotalTime>8</TotalTime>
  <ScaleCrop>false</ScaleCrop>
  <LinksUpToDate>false</LinksUpToDate>
  <CharactersWithSpaces>5177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Administrator</cp:lastModifiedBy>
  <cp:lastPrinted>2023-09-07T07:36:00Z</cp:lastPrinted>
  <dcterms:modified xsi:type="dcterms:W3CDTF">2023-10-09T02:50:45Z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58B9F7B392F94E6AB2A8F0AE238CFAA6_13</vt:lpwstr>
  </property>
</Properties>
</file>